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68B" w:rsidRDefault="00C1168B" w:rsidP="00C1168B">
      <w:pPr>
        <w:rPr>
          <w:rFonts w:cs="Arial"/>
          <w:lang w:val="en-GB"/>
        </w:rPr>
      </w:pPr>
      <w:bookmarkStart w:id="0" w:name="_GoBack"/>
      <w:bookmarkEnd w:id="0"/>
    </w:p>
    <w:p w:rsidR="003E0FE3" w:rsidRDefault="003E0FE3" w:rsidP="00C1168B">
      <w:pPr>
        <w:rPr>
          <w:rFonts w:cs="Arial"/>
          <w:lang w:val="en-GB"/>
        </w:rPr>
      </w:pPr>
    </w:p>
    <w:p w:rsidR="003E0FE3" w:rsidRDefault="003E0FE3" w:rsidP="00C1168B">
      <w:pPr>
        <w:rPr>
          <w:rFonts w:cs="Arial"/>
          <w:lang w:val="en-GB"/>
        </w:rPr>
      </w:pPr>
    </w:p>
    <w:p w:rsidR="00C1168B" w:rsidRDefault="00C1168B" w:rsidP="00C1168B">
      <w:pPr>
        <w:rPr>
          <w:rFonts w:ascii="Arial" w:hAnsi="Arial" w:cs="Arial"/>
          <w:b/>
          <w:bCs/>
          <w:sz w:val="20"/>
          <w:szCs w:val="20"/>
          <w:lang w:val="en-US"/>
        </w:rPr>
      </w:pPr>
    </w:p>
    <w:p w:rsidR="003E0FE3" w:rsidRPr="00C1168B" w:rsidRDefault="003E0FE3" w:rsidP="003E0FE3">
      <w:pPr>
        <w:spacing w:line="280" w:lineRule="atLeast"/>
        <w:jc w:val="both"/>
        <w:rPr>
          <w:rFonts w:ascii="Arial" w:hAnsi="Arial" w:cs="Arial"/>
          <w:b/>
          <w:bCs/>
          <w:sz w:val="20"/>
          <w:szCs w:val="20"/>
          <w:lang w:val="en-US"/>
        </w:rPr>
      </w:pPr>
      <w:r w:rsidRPr="00C1168B">
        <w:rPr>
          <w:rFonts w:ascii="Arial" w:hAnsi="Arial" w:cs="Arial"/>
          <w:b/>
          <w:bCs/>
          <w:sz w:val="20"/>
          <w:szCs w:val="20"/>
          <w:lang w:val="en-US"/>
        </w:rPr>
        <w:t>250 Jahre Wiener Börse: Delivering the future since 1771</w:t>
      </w:r>
    </w:p>
    <w:p w:rsidR="003E0FE3" w:rsidRPr="00C1168B" w:rsidRDefault="003E0FE3" w:rsidP="003E0FE3">
      <w:pPr>
        <w:spacing w:line="280" w:lineRule="atLeast"/>
        <w:jc w:val="both"/>
        <w:rPr>
          <w:rFonts w:ascii="Arial" w:hAnsi="Arial" w:cs="Arial"/>
          <w:b/>
          <w:bCs/>
          <w:sz w:val="20"/>
          <w:szCs w:val="20"/>
          <w:lang w:val="en-US"/>
        </w:rPr>
      </w:pPr>
    </w:p>
    <w:p w:rsidR="003E0FE3" w:rsidRPr="00C1168B" w:rsidRDefault="003E0FE3" w:rsidP="003E0FE3">
      <w:pPr>
        <w:spacing w:line="280" w:lineRule="atLeast"/>
        <w:jc w:val="both"/>
        <w:rPr>
          <w:rFonts w:ascii="Arial" w:hAnsi="Arial" w:cs="Arial"/>
          <w:b/>
          <w:bCs/>
          <w:sz w:val="20"/>
          <w:szCs w:val="20"/>
        </w:rPr>
      </w:pPr>
      <w:r w:rsidRPr="00C1168B">
        <w:rPr>
          <w:rFonts w:ascii="Arial" w:hAnsi="Arial" w:cs="Arial"/>
          <w:b/>
          <w:bCs/>
          <w:sz w:val="20"/>
          <w:szCs w:val="20"/>
        </w:rPr>
        <w:t xml:space="preserve">Die Wiener Börse feiert 2021 ihr 250-jähriges Jubiläum </w:t>
      </w:r>
    </w:p>
    <w:p w:rsidR="003E0FE3" w:rsidRPr="00C1168B" w:rsidRDefault="003E0FE3" w:rsidP="003E0FE3">
      <w:pPr>
        <w:spacing w:line="280" w:lineRule="atLeast"/>
        <w:jc w:val="both"/>
        <w:rPr>
          <w:rFonts w:ascii="Arial" w:hAnsi="Arial" w:cs="Arial"/>
          <w:b/>
          <w:bCs/>
          <w:sz w:val="20"/>
          <w:szCs w:val="20"/>
        </w:rPr>
      </w:pPr>
    </w:p>
    <w:p w:rsidR="003E0FE3" w:rsidRPr="00C1168B" w:rsidRDefault="003E0FE3" w:rsidP="003E0FE3">
      <w:pPr>
        <w:spacing w:line="280" w:lineRule="atLeast"/>
        <w:jc w:val="both"/>
        <w:rPr>
          <w:rFonts w:ascii="Arial" w:hAnsi="Arial" w:cs="Arial"/>
          <w:sz w:val="20"/>
          <w:szCs w:val="20"/>
        </w:rPr>
      </w:pPr>
      <w:r w:rsidRPr="00C1168B">
        <w:rPr>
          <w:rFonts w:ascii="Arial" w:hAnsi="Arial" w:cs="Arial"/>
          <w:sz w:val="20"/>
          <w:szCs w:val="20"/>
        </w:rPr>
        <w:t xml:space="preserve">Heuer wird unsere Heimatbörse 250 Jahre alt. Gegründet 1771 von Maria Theresia, um das Vertrauen in den Staatshaushalt der Habsburger zu stärken, zählt sie zu den ältesten Börsen der Welt. Anfänglich wurden Anleihen, Wechsel und Devisen gehandelt. Mit der </w:t>
      </w:r>
      <w:proofErr w:type="spellStart"/>
      <w:r>
        <w:rPr>
          <w:rFonts w:ascii="Arial" w:hAnsi="Arial" w:cs="Arial"/>
          <w:sz w:val="20"/>
          <w:szCs w:val="20"/>
        </w:rPr>
        <w:t>Oe</w:t>
      </w:r>
      <w:r w:rsidRPr="00C1168B">
        <w:rPr>
          <w:rFonts w:ascii="Arial" w:hAnsi="Arial" w:cs="Arial"/>
          <w:sz w:val="20"/>
          <w:szCs w:val="20"/>
        </w:rPr>
        <w:t>sterreichischen</w:t>
      </w:r>
      <w:proofErr w:type="spellEnd"/>
      <w:r w:rsidRPr="00C1168B">
        <w:rPr>
          <w:rFonts w:ascii="Arial" w:hAnsi="Arial" w:cs="Arial"/>
          <w:sz w:val="20"/>
          <w:szCs w:val="20"/>
        </w:rPr>
        <w:t xml:space="preserve"> Nationalbank notierte ab 1818 die erste Aktie. </w:t>
      </w:r>
      <w:r w:rsidRPr="00C1168B">
        <w:rPr>
          <w:rFonts w:ascii="Arial" w:hAnsi="Arial" w:cs="Arial"/>
          <w:i/>
          <w:iCs/>
          <w:sz w:val="20"/>
          <w:szCs w:val="20"/>
          <w:highlight w:val="yellow"/>
        </w:rPr>
        <w:t>Unternehmen</w:t>
      </w:r>
      <w:r w:rsidRPr="00C1168B">
        <w:rPr>
          <w:rFonts w:ascii="Arial" w:hAnsi="Arial" w:cs="Arial"/>
          <w:sz w:val="20"/>
          <w:szCs w:val="20"/>
        </w:rPr>
        <w:t xml:space="preserve"> ist seit </w:t>
      </w:r>
      <w:r w:rsidRPr="00C1168B">
        <w:rPr>
          <w:rFonts w:ascii="Arial" w:hAnsi="Arial" w:cs="Arial"/>
          <w:i/>
          <w:iCs/>
          <w:sz w:val="20"/>
          <w:szCs w:val="20"/>
          <w:highlight w:val="yellow"/>
        </w:rPr>
        <w:t>Datum</w:t>
      </w:r>
      <w:r w:rsidRPr="00C1168B">
        <w:rPr>
          <w:rFonts w:ascii="Arial" w:hAnsi="Arial" w:cs="Arial"/>
          <w:sz w:val="20"/>
          <w:szCs w:val="20"/>
        </w:rPr>
        <w:t xml:space="preserve"> an der Wiener Börse </w:t>
      </w:r>
      <w:r w:rsidRPr="003E0FE3">
        <w:rPr>
          <w:rFonts w:ascii="Arial" w:hAnsi="Arial" w:cs="Arial"/>
          <w:sz w:val="20"/>
          <w:szCs w:val="20"/>
        </w:rPr>
        <w:t>im</w:t>
      </w:r>
      <w:r w:rsidRPr="00C1168B">
        <w:rPr>
          <w:rFonts w:ascii="Arial" w:hAnsi="Arial" w:cs="Arial"/>
          <w:i/>
          <w:iCs/>
          <w:sz w:val="20"/>
          <w:szCs w:val="20"/>
        </w:rPr>
        <w:t xml:space="preserve"> </w:t>
      </w:r>
      <w:r w:rsidRPr="00C1168B">
        <w:rPr>
          <w:rFonts w:ascii="Arial" w:hAnsi="Arial" w:cs="Arial"/>
          <w:i/>
          <w:iCs/>
          <w:sz w:val="20"/>
          <w:szCs w:val="20"/>
          <w:highlight w:val="yellow"/>
        </w:rPr>
        <w:t>(Top)-Segment</w:t>
      </w:r>
      <w:r w:rsidRPr="00C1168B">
        <w:rPr>
          <w:rFonts w:ascii="Arial" w:hAnsi="Arial" w:cs="Arial"/>
          <w:sz w:val="20"/>
          <w:szCs w:val="20"/>
        </w:rPr>
        <w:t xml:space="preserve"> gelistet / und seit </w:t>
      </w:r>
      <w:r w:rsidRPr="00C1168B">
        <w:rPr>
          <w:rFonts w:ascii="Arial" w:hAnsi="Arial" w:cs="Arial"/>
          <w:i/>
          <w:iCs/>
          <w:sz w:val="20"/>
          <w:szCs w:val="20"/>
          <w:highlight w:val="yellow"/>
        </w:rPr>
        <w:t>Datum</w:t>
      </w:r>
      <w:r w:rsidRPr="00C1168B">
        <w:rPr>
          <w:rFonts w:ascii="Arial" w:hAnsi="Arial" w:cs="Arial"/>
          <w:sz w:val="20"/>
          <w:szCs w:val="20"/>
        </w:rPr>
        <w:t xml:space="preserve"> im österreichischen Leitindex ATX enthalten. </w:t>
      </w:r>
    </w:p>
    <w:p w:rsidR="003E0FE3" w:rsidRPr="00C1168B" w:rsidRDefault="003E0FE3" w:rsidP="003E0FE3">
      <w:pPr>
        <w:spacing w:line="280" w:lineRule="atLeast"/>
        <w:jc w:val="both"/>
        <w:rPr>
          <w:rFonts w:ascii="Arial" w:hAnsi="Arial" w:cs="Arial"/>
          <w:sz w:val="20"/>
          <w:szCs w:val="20"/>
        </w:rPr>
      </w:pPr>
    </w:p>
    <w:p w:rsidR="003E0FE3" w:rsidRPr="00C1168B" w:rsidRDefault="003E0FE3" w:rsidP="003E0FE3">
      <w:pPr>
        <w:spacing w:line="280" w:lineRule="atLeast"/>
        <w:jc w:val="both"/>
        <w:rPr>
          <w:rFonts w:ascii="Arial" w:hAnsi="Arial" w:cs="Arial"/>
          <w:sz w:val="20"/>
          <w:szCs w:val="20"/>
        </w:rPr>
      </w:pPr>
      <w:r w:rsidRPr="00C1168B">
        <w:rPr>
          <w:rFonts w:ascii="Arial" w:hAnsi="Arial" w:cs="Arial"/>
          <w:sz w:val="20"/>
          <w:szCs w:val="20"/>
        </w:rPr>
        <w:t xml:space="preserve">Die Wiener Börse blick auf eine bewegte Geschichte und eine lange Tradition zurück, gleichzeitig ist der Blick der vollelektronischen Infrastrukturanbieterin stets vorwärtsgerichtet. Die Wiener Börse ist klare Marktführerin im Handel mit österreichischen Aktien und zeichnet sich durch hohe Internationalität bei den Handelsteilnehmern, Investoren und </w:t>
      </w:r>
      <w:proofErr w:type="spellStart"/>
      <w:r w:rsidRPr="00C1168B">
        <w:rPr>
          <w:rFonts w:ascii="Arial" w:hAnsi="Arial" w:cs="Arial"/>
          <w:sz w:val="20"/>
          <w:szCs w:val="20"/>
        </w:rPr>
        <w:t>Datenvendoren</w:t>
      </w:r>
      <w:proofErr w:type="spellEnd"/>
      <w:r w:rsidRPr="00C1168B">
        <w:rPr>
          <w:rFonts w:ascii="Arial" w:hAnsi="Arial" w:cs="Arial"/>
          <w:sz w:val="20"/>
          <w:szCs w:val="20"/>
        </w:rPr>
        <w:t xml:space="preserve"> aus. Sie steht für höchste Serviceorientierung, Zuverlässigkeit und Transparenz. Als Herz des österreichischen Kapitalmarkts schlägt sie die Brücke für Unternehmen zu den wichtigsten Finanzzentren der Welt. Investoren ermöglicht die Wiener Börse die Teilhabe am wirtschaftlichen Erfolg der österreichischen Unternehmen und ist damit ein wesentlicher Faktor für den Wohlstand unseres Landes.</w:t>
      </w:r>
    </w:p>
    <w:p w:rsidR="00C1168B" w:rsidRPr="003E0FE3" w:rsidRDefault="00C1168B" w:rsidP="003E0FE3">
      <w:pPr>
        <w:spacing w:line="280" w:lineRule="atLeast"/>
        <w:jc w:val="both"/>
        <w:rPr>
          <w:rFonts w:ascii="Arial" w:hAnsi="Arial" w:cs="Arial"/>
          <w:b/>
          <w:bCs/>
          <w:sz w:val="20"/>
          <w:szCs w:val="20"/>
        </w:rPr>
      </w:pPr>
    </w:p>
    <w:p w:rsidR="00C1168B" w:rsidRPr="003E0FE3" w:rsidRDefault="00C1168B" w:rsidP="003E0FE3">
      <w:pPr>
        <w:spacing w:line="280" w:lineRule="atLeast"/>
        <w:jc w:val="both"/>
        <w:rPr>
          <w:rFonts w:ascii="Arial" w:hAnsi="Arial" w:cs="Arial"/>
          <w:b/>
          <w:bCs/>
          <w:sz w:val="20"/>
          <w:szCs w:val="20"/>
          <w:lang w:val="de-AT"/>
        </w:rPr>
      </w:pPr>
    </w:p>
    <w:p w:rsidR="00C1168B" w:rsidRPr="00C1168B" w:rsidRDefault="00C1168B" w:rsidP="003E0FE3">
      <w:pPr>
        <w:spacing w:line="280" w:lineRule="atLeast"/>
        <w:jc w:val="both"/>
        <w:rPr>
          <w:rFonts w:ascii="Arial" w:hAnsi="Arial" w:cs="Arial"/>
          <w:b/>
          <w:bCs/>
          <w:sz w:val="20"/>
          <w:szCs w:val="20"/>
          <w:lang w:val="en-US"/>
        </w:rPr>
      </w:pPr>
      <w:r w:rsidRPr="00C1168B">
        <w:rPr>
          <w:rFonts w:ascii="Arial" w:hAnsi="Arial" w:cs="Arial"/>
          <w:b/>
          <w:bCs/>
          <w:sz w:val="20"/>
          <w:szCs w:val="20"/>
          <w:lang w:val="en-US"/>
        </w:rPr>
        <w:t>250 Years of the Vienna Stock Exchange: Delivering the future since 1771</w:t>
      </w:r>
    </w:p>
    <w:p w:rsidR="00C1168B" w:rsidRPr="00C1168B" w:rsidRDefault="00C1168B" w:rsidP="003E0FE3">
      <w:pPr>
        <w:spacing w:line="280" w:lineRule="atLeast"/>
        <w:jc w:val="both"/>
        <w:rPr>
          <w:rFonts w:ascii="Arial" w:hAnsi="Arial" w:cs="Arial"/>
          <w:b/>
          <w:bCs/>
          <w:sz w:val="20"/>
          <w:szCs w:val="20"/>
          <w:lang w:val="en-US"/>
        </w:rPr>
      </w:pPr>
    </w:p>
    <w:p w:rsidR="00C1168B" w:rsidRPr="00C1168B" w:rsidRDefault="00C1168B" w:rsidP="003E0FE3">
      <w:pPr>
        <w:spacing w:line="280" w:lineRule="atLeast"/>
        <w:jc w:val="both"/>
        <w:rPr>
          <w:rFonts w:ascii="Arial" w:hAnsi="Arial" w:cs="Arial"/>
          <w:b/>
          <w:bCs/>
          <w:sz w:val="20"/>
          <w:szCs w:val="20"/>
          <w:lang w:val="en-US"/>
        </w:rPr>
      </w:pPr>
      <w:r w:rsidRPr="00C1168B">
        <w:rPr>
          <w:rFonts w:ascii="Arial" w:hAnsi="Arial" w:cs="Arial"/>
          <w:b/>
          <w:bCs/>
          <w:sz w:val="20"/>
          <w:szCs w:val="20"/>
          <w:lang w:val="en-US"/>
        </w:rPr>
        <w:t>The Vienna Stock Exchange celebrates its 250</w:t>
      </w:r>
      <w:r w:rsidRPr="00C1168B">
        <w:rPr>
          <w:rFonts w:ascii="Arial" w:hAnsi="Arial" w:cs="Arial"/>
          <w:b/>
          <w:bCs/>
          <w:sz w:val="20"/>
          <w:szCs w:val="20"/>
          <w:vertAlign w:val="superscript"/>
          <w:lang w:val="en-US"/>
        </w:rPr>
        <w:t>th</w:t>
      </w:r>
      <w:r w:rsidRPr="00C1168B">
        <w:rPr>
          <w:rFonts w:ascii="Arial" w:hAnsi="Arial" w:cs="Arial"/>
          <w:b/>
          <w:bCs/>
          <w:sz w:val="20"/>
          <w:szCs w:val="20"/>
          <w:lang w:val="en-US"/>
        </w:rPr>
        <w:t xml:space="preserve"> anniversary in 2021 </w:t>
      </w:r>
    </w:p>
    <w:p w:rsidR="00C1168B" w:rsidRPr="00C1168B" w:rsidRDefault="00C1168B" w:rsidP="003E0FE3">
      <w:pPr>
        <w:spacing w:line="280" w:lineRule="atLeast"/>
        <w:jc w:val="both"/>
        <w:rPr>
          <w:rFonts w:ascii="Arial" w:hAnsi="Arial" w:cs="Arial"/>
          <w:sz w:val="20"/>
          <w:szCs w:val="20"/>
          <w:lang w:val="en-US"/>
        </w:rPr>
      </w:pPr>
    </w:p>
    <w:p w:rsidR="00C1168B" w:rsidRPr="00C1168B" w:rsidRDefault="00C1168B" w:rsidP="003E0FE3">
      <w:pPr>
        <w:spacing w:line="280" w:lineRule="atLeast"/>
        <w:jc w:val="both"/>
        <w:rPr>
          <w:rFonts w:ascii="Arial" w:hAnsi="Arial" w:cs="Arial"/>
          <w:sz w:val="20"/>
          <w:szCs w:val="20"/>
          <w:lang w:val="en-US"/>
        </w:rPr>
      </w:pPr>
      <w:r w:rsidRPr="00C1168B">
        <w:rPr>
          <w:rFonts w:ascii="Arial" w:hAnsi="Arial" w:cs="Arial"/>
          <w:sz w:val="20"/>
          <w:szCs w:val="20"/>
          <w:lang w:val="en-US"/>
        </w:rPr>
        <w:t xml:space="preserve">Austria’s stock exchange will be 250 years old this year. Founded in 1771 by Maria Theresa to strengthen trust in the Habsburg state finances, it is one of the oldest stock exchanges worldwide. Initially, only government bonds, bills of exchange and foreign currencies were traded. The shares of the Austrian central bank were the first to be listed in Vienna in 1818. </w:t>
      </w:r>
      <w:r w:rsidRPr="00C1168B">
        <w:rPr>
          <w:rFonts w:ascii="Arial" w:hAnsi="Arial" w:cs="Arial"/>
          <w:i/>
          <w:iCs/>
          <w:sz w:val="20"/>
          <w:szCs w:val="20"/>
          <w:highlight w:val="yellow"/>
          <w:lang w:val="en-US"/>
        </w:rPr>
        <w:t>Company</w:t>
      </w:r>
      <w:r w:rsidRPr="00C1168B">
        <w:rPr>
          <w:rFonts w:ascii="Arial" w:hAnsi="Arial" w:cs="Arial"/>
          <w:sz w:val="20"/>
          <w:szCs w:val="20"/>
          <w:lang w:val="en-US"/>
        </w:rPr>
        <w:t xml:space="preserve"> has been listed </w:t>
      </w:r>
      <w:r w:rsidRPr="003E0FE3">
        <w:rPr>
          <w:rFonts w:ascii="Arial" w:hAnsi="Arial" w:cs="Arial"/>
          <w:sz w:val="20"/>
          <w:szCs w:val="20"/>
          <w:lang w:val="en-US"/>
        </w:rPr>
        <w:t>in the</w:t>
      </w:r>
      <w:r w:rsidRPr="00C1168B">
        <w:rPr>
          <w:rFonts w:ascii="Arial" w:hAnsi="Arial" w:cs="Arial"/>
          <w:i/>
          <w:iCs/>
          <w:sz w:val="20"/>
          <w:szCs w:val="20"/>
          <w:lang w:val="en-US"/>
        </w:rPr>
        <w:t xml:space="preserve"> </w:t>
      </w:r>
      <w:r w:rsidRPr="00C1168B">
        <w:rPr>
          <w:rFonts w:ascii="Arial" w:hAnsi="Arial" w:cs="Arial"/>
          <w:i/>
          <w:iCs/>
          <w:sz w:val="20"/>
          <w:szCs w:val="20"/>
          <w:highlight w:val="yellow"/>
          <w:lang w:val="en-US"/>
        </w:rPr>
        <w:t>(top) segment</w:t>
      </w:r>
      <w:r w:rsidRPr="00C1168B">
        <w:rPr>
          <w:rFonts w:ascii="Arial" w:hAnsi="Arial" w:cs="Arial"/>
          <w:sz w:val="20"/>
          <w:szCs w:val="20"/>
          <w:lang w:val="en-US"/>
        </w:rPr>
        <w:t xml:space="preserve"> of the Vienna Stock Exchange since </w:t>
      </w:r>
      <w:r w:rsidRPr="00C1168B">
        <w:rPr>
          <w:rFonts w:ascii="Arial" w:hAnsi="Arial" w:cs="Arial"/>
          <w:i/>
          <w:iCs/>
          <w:sz w:val="20"/>
          <w:szCs w:val="20"/>
          <w:highlight w:val="yellow"/>
          <w:lang w:val="en-US"/>
        </w:rPr>
        <w:t>date</w:t>
      </w:r>
      <w:r w:rsidRPr="00C1168B">
        <w:rPr>
          <w:rFonts w:ascii="Arial" w:hAnsi="Arial" w:cs="Arial"/>
          <w:sz w:val="20"/>
          <w:szCs w:val="20"/>
          <w:lang w:val="en-US"/>
        </w:rPr>
        <w:t xml:space="preserve"> and has been included in the Austrian benchmark index ATX since </w:t>
      </w:r>
      <w:r w:rsidRPr="00C1168B">
        <w:rPr>
          <w:rFonts w:ascii="Arial" w:hAnsi="Arial" w:cs="Arial"/>
          <w:i/>
          <w:iCs/>
          <w:sz w:val="20"/>
          <w:szCs w:val="20"/>
          <w:highlight w:val="yellow"/>
          <w:lang w:val="en-US"/>
        </w:rPr>
        <w:t>date</w:t>
      </w:r>
      <w:r w:rsidRPr="00C1168B">
        <w:rPr>
          <w:rFonts w:ascii="Arial" w:hAnsi="Arial" w:cs="Arial"/>
          <w:sz w:val="20"/>
          <w:szCs w:val="20"/>
          <w:lang w:val="en-US"/>
        </w:rPr>
        <w:t xml:space="preserve">. </w:t>
      </w:r>
    </w:p>
    <w:p w:rsidR="00C1168B" w:rsidRPr="00C1168B" w:rsidRDefault="00C1168B" w:rsidP="003E0FE3">
      <w:pPr>
        <w:spacing w:line="280" w:lineRule="atLeast"/>
        <w:jc w:val="both"/>
        <w:rPr>
          <w:rFonts w:ascii="Arial" w:hAnsi="Arial" w:cs="Arial"/>
          <w:sz w:val="20"/>
          <w:szCs w:val="20"/>
          <w:lang w:val="en-US"/>
        </w:rPr>
      </w:pPr>
    </w:p>
    <w:p w:rsidR="00C1168B" w:rsidRPr="00C1168B" w:rsidRDefault="00C1168B" w:rsidP="003E0FE3">
      <w:pPr>
        <w:spacing w:line="280" w:lineRule="atLeast"/>
        <w:jc w:val="both"/>
        <w:rPr>
          <w:rFonts w:ascii="Arial" w:hAnsi="Arial" w:cs="Arial"/>
          <w:sz w:val="20"/>
          <w:szCs w:val="20"/>
          <w:lang w:val="en-US"/>
        </w:rPr>
      </w:pPr>
      <w:r w:rsidRPr="00C1168B">
        <w:rPr>
          <w:rFonts w:ascii="Arial" w:hAnsi="Arial" w:cs="Arial"/>
          <w:sz w:val="20"/>
          <w:szCs w:val="20"/>
          <w:lang w:val="en-US"/>
        </w:rPr>
        <w:t>Although the Vienna Stock Exchange looks back on an eventful history and a long tradition, it is also a forward-looking enterprise and operator of the fully automated trading infrastructure. The Vienna Stock Exchange is the uncontested market leader for trading in Austrian shares and is also widely recognized for its highly international network of trading participants, investors and data vendors. The stock exchange is known for its outstanding services, reliability and transparency. The Vienna Stock Exchange is the heartbeat of the Austrian capital market and the gateway to the world's major financial centers for listed companies. It gives investors the opportunity to participate in the economic success of Austrian companies and is therefore a key driver of prosperity in our country.</w:t>
      </w:r>
    </w:p>
    <w:p w:rsidR="00C1168B" w:rsidRPr="00C1168B" w:rsidRDefault="00C1168B" w:rsidP="003E0FE3">
      <w:pPr>
        <w:spacing w:after="200" w:line="280" w:lineRule="atLeast"/>
        <w:jc w:val="both"/>
        <w:rPr>
          <w:rFonts w:ascii="Arial" w:hAnsi="Arial" w:cs="Arial"/>
          <w:sz w:val="20"/>
          <w:szCs w:val="20"/>
          <w:lang w:val="en-US"/>
        </w:rPr>
      </w:pPr>
    </w:p>
    <w:p w:rsidR="004528C2" w:rsidRPr="001F61B3" w:rsidRDefault="004528C2" w:rsidP="00C1168B">
      <w:pPr>
        <w:spacing w:line="280" w:lineRule="atLeast"/>
        <w:rPr>
          <w:rFonts w:ascii="Arial" w:hAnsi="Arial" w:cs="Arial"/>
          <w:sz w:val="20"/>
          <w:szCs w:val="20"/>
          <w:lang w:val="en-US"/>
        </w:rPr>
      </w:pPr>
    </w:p>
    <w:sectPr w:rsidR="004528C2" w:rsidRPr="001F61B3" w:rsidSect="00E5288E">
      <w:headerReference w:type="default" r:id="rId7"/>
      <w:footerReference w:type="default" r:id="rId8"/>
      <w:pgSz w:w="11906" w:h="16838"/>
      <w:pgMar w:top="2268" w:right="907" w:bottom="567" w:left="1418" w:header="709" w:footer="709" w:gutter="0"/>
      <w:cols w:space="708" w:equalWidth="0">
        <w:col w:w="9581" w:space="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2E9" w:rsidRDefault="005A72E9">
      <w:r>
        <w:separator/>
      </w:r>
    </w:p>
  </w:endnote>
  <w:endnote w:type="continuationSeparator" w:id="0">
    <w:p w:rsidR="005A72E9" w:rsidRDefault="005A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70" w:rsidRDefault="00E8701B" w:rsidP="00D306DC">
    <w:pPr>
      <w:pStyle w:val="Fuzeile"/>
      <w:rPr>
        <w:rFonts w:ascii="Arial" w:hAnsi="Arial" w:cs="Arial"/>
        <w:sz w:val="15"/>
      </w:rPr>
    </w:pPr>
    <w:r>
      <w:rPr>
        <w:noProof/>
      </w:rPr>
      <w:drawing>
        <wp:anchor distT="0" distB="0" distL="114300" distR="114300" simplePos="0" relativeHeight="251658752" behindDoc="0" locked="0" layoutInCell="1" allowOverlap="1">
          <wp:simplePos x="0" y="0"/>
          <wp:positionH relativeFrom="column">
            <wp:posOffset>5090795</wp:posOffset>
          </wp:positionH>
          <wp:positionV relativeFrom="paragraph">
            <wp:posOffset>59055</wp:posOffset>
          </wp:positionV>
          <wp:extent cx="819150" cy="513080"/>
          <wp:effectExtent l="0" t="0" r="0" b="0"/>
          <wp:wrapNone/>
          <wp:docPr id="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13080"/>
                  </a:xfrm>
                  <a:prstGeom prst="rect">
                    <a:avLst/>
                  </a:prstGeom>
                  <a:noFill/>
                </pic:spPr>
              </pic:pic>
            </a:graphicData>
          </a:graphic>
          <wp14:sizeRelH relativeFrom="margin">
            <wp14:pctWidth>0</wp14:pctWidth>
          </wp14:sizeRelH>
          <wp14:sizeRelV relativeFrom="margin">
            <wp14:pctHeight>0</wp14:pctHeight>
          </wp14:sizeRelV>
        </wp:anchor>
      </w:drawing>
    </w:r>
  </w:p>
  <w:p w:rsidR="00D306DC" w:rsidRPr="00F81BDF" w:rsidRDefault="00D306DC" w:rsidP="00D306DC">
    <w:pPr>
      <w:pStyle w:val="Fuzeile"/>
      <w:rPr>
        <w:rFonts w:ascii="Arial" w:hAnsi="Arial" w:cs="Arial"/>
        <w:sz w:val="15"/>
      </w:rPr>
    </w:pPr>
    <w:r w:rsidRPr="00F81BDF">
      <w:rPr>
        <w:rFonts w:ascii="Arial" w:hAnsi="Arial" w:cs="Arial"/>
        <w:sz w:val="15"/>
      </w:rPr>
      <w:t>Wiener Börse AG, 101</w:t>
    </w:r>
    <w:r w:rsidR="003B1E53" w:rsidRPr="00F81BDF">
      <w:rPr>
        <w:rFonts w:ascii="Arial" w:hAnsi="Arial" w:cs="Arial"/>
        <w:sz w:val="15"/>
      </w:rPr>
      <w:t>0</w:t>
    </w:r>
    <w:r w:rsidRPr="00F81BDF">
      <w:rPr>
        <w:rFonts w:ascii="Arial" w:hAnsi="Arial" w:cs="Arial"/>
        <w:sz w:val="15"/>
      </w:rPr>
      <w:t xml:space="preserve"> </w:t>
    </w:r>
    <w:r w:rsidR="00EC1A78" w:rsidRPr="00F81BDF">
      <w:rPr>
        <w:rFonts w:ascii="Arial" w:hAnsi="Arial" w:cs="Arial"/>
        <w:sz w:val="15"/>
      </w:rPr>
      <w:t>Wien</w:t>
    </w:r>
    <w:r w:rsidRPr="00F81BDF">
      <w:rPr>
        <w:rFonts w:ascii="Arial" w:hAnsi="Arial" w:cs="Arial"/>
        <w:sz w:val="15"/>
      </w:rPr>
      <w:t>, Wallnerstra</w:t>
    </w:r>
    <w:r w:rsidR="00EC1A78" w:rsidRPr="00F81BDF">
      <w:rPr>
        <w:rFonts w:ascii="Arial" w:hAnsi="Arial" w:cs="Arial"/>
        <w:sz w:val="15"/>
      </w:rPr>
      <w:t>ß</w:t>
    </w:r>
    <w:r w:rsidRPr="00F81BDF">
      <w:rPr>
        <w:rFonts w:ascii="Arial" w:hAnsi="Arial" w:cs="Arial"/>
        <w:sz w:val="15"/>
      </w:rPr>
      <w:t>e 8</w:t>
    </w:r>
  </w:p>
  <w:p w:rsidR="00D306DC" w:rsidRPr="00F81BDF" w:rsidRDefault="00D306DC" w:rsidP="00D306DC">
    <w:pPr>
      <w:pStyle w:val="Fuzeile"/>
      <w:rPr>
        <w:rFonts w:ascii="Arial" w:hAnsi="Arial" w:cs="Arial"/>
        <w:sz w:val="15"/>
        <w:szCs w:val="15"/>
      </w:rPr>
    </w:pPr>
    <w:r w:rsidRPr="00F81BDF">
      <w:rPr>
        <w:rFonts w:ascii="Arial" w:hAnsi="Arial" w:cs="Arial"/>
        <w:sz w:val="15"/>
        <w:szCs w:val="15"/>
      </w:rPr>
      <w:t>T +43 1 531 65 0, F +43 1 53297 40</w:t>
    </w:r>
  </w:p>
  <w:p w:rsidR="00D306DC" w:rsidRPr="00F81BDF" w:rsidRDefault="00D306DC" w:rsidP="00D306DC">
    <w:pPr>
      <w:pStyle w:val="Fuzeile"/>
      <w:rPr>
        <w:rFonts w:ascii="Arial" w:hAnsi="Arial" w:cs="Arial"/>
        <w:sz w:val="15"/>
        <w:szCs w:val="15"/>
      </w:rPr>
    </w:pPr>
    <w:r w:rsidRPr="00F81BDF">
      <w:rPr>
        <w:rFonts w:ascii="Arial" w:hAnsi="Arial" w:cs="Arial"/>
        <w:sz w:val="15"/>
        <w:szCs w:val="15"/>
      </w:rPr>
      <w:t>info@wie</w:t>
    </w:r>
    <w:r w:rsidR="00EC4D0E" w:rsidRPr="00F81BDF">
      <w:rPr>
        <w:rFonts w:ascii="Arial" w:hAnsi="Arial" w:cs="Arial"/>
        <w:sz w:val="15"/>
        <w:szCs w:val="15"/>
      </w:rPr>
      <w:t>nerbo</w:t>
    </w:r>
    <w:r w:rsidR="002D2C70" w:rsidRPr="00F81BDF">
      <w:rPr>
        <w:rFonts w:ascii="Arial" w:hAnsi="Arial" w:cs="Arial"/>
        <w:sz w:val="15"/>
        <w:szCs w:val="15"/>
      </w:rPr>
      <w:t>e</w:t>
    </w:r>
    <w:r w:rsidR="00EC4D0E" w:rsidRPr="00F81BDF">
      <w:rPr>
        <w:rFonts w:ascii="Arial" w:hAnsi="Arial" w:cs="Arial"/>
        <w:sz w:val="15"/>
        <w:szCs w:val="15"/>
      </w:rPr>
      <w:t xml:space="preserve">rse.at, </w:t>
    </w:r>
    <w:hyperlink r:id="rId2" w:history="1">
      <w:r w:rsidR="004145E5" w:rsidRPr="004237E7">
        <w:rPr>
          <w:rStyle w:val="Hyperlink"/>
          <w:rFonts w:ascii="Arial" w:hAnsi="Arial" w:cs="Arial"/>
          <w:color w:val="auto"/>
          <w:sz w:val="15"/>
          <w:szCs w:val="15"/>
          <w:u w:val="none"/>
        </w:rPr>
        <w:t>www.wienerboerse.at</w:t>
      </w:r>
    </w:hyperlink>
  </w:p>
  <w:p w:rsidR="00C8153A" w:rsidRPr="000A5CB6" w:rsidRDefault="004D0087" w:rsidP="000A5CB6">
    <w:pPr>
      <w:pStyle w:val="Fuzeile"/>
      <w:rPr>
        <w:rFonts w:ascii="Arial" w:hAnsi="Arial"/>
        <w:sz w:val="15"/>
        <w:szCs w:val="15"/>
      </w:rPr>
    </w:pPr>
    <w:r w:rsidRPr="000F7511">
      <w:rPr>
        <w:rFonts w:ascii="Arial" w:hAnsi="Arial"/>
        <w:sz w:val="15"/>
        <w:szCs w:val="15"/>
      </w:rPr>
      <w:t xml:space="preserve">FN </w:t>
    </w:r>
    <w:r>
      <w:rPr>
        <w:rFonts w:ascii="Arial" w:hAnsi="Arial"/>
        <w:sz w:val="15"/>
        <w:szCs w:val="15"/>
      </w:rPr>
      <w:t>161826</w:t>
    </w:r>
    <w:r w:rsidR="000A5CB6">
      <w:rPr>
        <w:rFonts w:ascii="Arial" w:hAnsi="Arial"/>
        <w:sz w:val="15"/>
        <w:szCs w:val="15"/>
      </w:rPr>
      <w:t xml:space="preserve"> </w:t>
    </w:r>
    <w:r>
      <w:rPr>
        <w:rFonts w:ascii="Arial" w:hAnsi="Arial"/>
        <w:sz w:val="15"/>
        <w:szCs w:val="15"/>
      </w:rPr>
      <w:t>f</w:t>
    </w:r>
    <w:r w:rsidRPr="000F7511">
      <w:rPr>
        <w:rFonts w:ascii="Arial" w:hAnsi="Arial"/>
        <w:sz w:val="15"/>
        <w:szCs w:val="15"/>
      </w:rPr>
      <w:t>, HG Wien, Rechtsform Aktiengesellschaft</w:t>
    </w:r>
    <w:r>
      <w:rPr>
        <w:rFonts w:ascii="Arial" w:hAnsi="Arial"/>
        <w:sz w:val="15"/>
        <w:szCs w:val="15"/>
      </w:rPr>
      <w:t>, UID ATU43751301, Sitz: Wien</w:t>
    </w:r>
    <w:r w:rsidR="00D84B6F">
      <w:rPr>
        <w:rFonts w:ascii="Arial" w:hAnsi="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2E9" w:rsidRDefault="005A72E9">
      <w:r>
        <w:separator/>
      </w:r>
    </w:p>
  </w:footnote>
  <w:footnote w:type="continuationSeparator" w:id="0">
    <w:p w:rsidR="005A72E9" w:rsidRDefault="005A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962" w:rsidRPr="002E23AC" w:rsidRDefault="00E8701B" w:rsidP="00E871C2">
    <w:pPr>
      <w:pStyle w:val="Kopfzeile"/>
      <w:spacing w:line="280" w:lineRule="atLeast"/>
      <w:ind w:left="-142" w:right="153" w:firstLine="142"/>
      <w:rPr>
        <w:rFonts w:ascii="Arial" w:hAnsi="Arial"/>
        <w:b/>
        <w:sz w:val="30"/>
        <w:szCs w:val="30"/>
        <w:lang w:val="en-GB"/>
      </w:rPr>
    </w:pPr>
    <w:r>
      <w:rPr>
        <w:noProof/>
      </w:rPr>
      <w:drawing>
        <wp:anchor distT="0" distB="0" distL="114300" distR="114300" simplePos="0" relativeHeight="251656704" behindDoc="0" locked="0" layoutInCell="1" allowOverlap="1">
          <wp:simplePos x="0" y="0"/>
          <wp:positionH relativeFrom="column">
            <wp:posOffset>5088890</wp:posOffset>
          </wp:positionH>
          <wp:positionV relativeFrom="paragraph">
            <wp:posOffset>95250</wp:posOffset>
          </wp:positionV>
          <wp:extent cx="1191260" cy="904875"/>
          <wp:effectExtent l="0" t="0" r="0" b="0"/>
          <wp:wrapNone/>
          <wp:docPr id="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260" cy="904875"/>
                  </a:xfrm>
                  <a:prstGeom prst="rect">
                    <a:avLst/>
                  </a:prstGeom>
                  <a:noFill/>
                </pic:spPr>
              </pic:pic>
            </a:graphicData>
          </a:graphic>
          <wp14:sizeRelH relativeFrom="margin">
            <wp14:pctWidth>0</wp14:pctWidth>
          </wp14:sizeRelH>
          <wp14:sizeRelV relativeFrom="margin">
            <wp14:pctHeight>0</wp14:pctHeight>
          </wp14:sizeRelV>
        </wp:anchor>
      </w:drawing>
    </w:r>
  </w:p>
  <w:p w:rsidR="00E871C2" w:rsidRDefault="00E871C2" w:rsidP="001E1962">
    <w:pPr>
      <w:pStyle w:val="Kopfzeile"/>
      <w:spacing w:line="280" w:lineRule="atLeast"/>
      <w:ind w:right="153"/>
      <w:rPr>
        <w:rFonts w:ascii="Arial" w:hAnsi="Arial"/>
        <w:b/>
        <w:sz w:val="30"/>
        <w:szCs w:val="30"/>
        <w:lang w:val="en-GB"/>
      </w:rPr>
    </w:pPr>
  </w:p>
  <w:p w:rsidR="00E871C2" w:rsidRPr="00263A2B" w:rsidRDefault="00E871C2" w:rsidP="00263A2B">
    <w:pPr>
      <w:pStyle w:val="Kopfzeile"/>
      <w:spacing w:before="120" w:line="640" w:lineRule="exact"/>
      <w:ind w:right="153"/>
      <w:rPr>
        <w:rFonts w:ascii="Arial" w:hAnsi="Arial"/>
        <w:sz w:val="40"/>
        <w:szCs w:val="4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6476C"/>
    <w:multiLevelType w:val="hybridMultilevel"/>
    <w:tmpl w:val="D8C489A2"/>
    <w:lvl w:ilvl="0" w:tplc="FFB8D714">
      <w:start w:val="1"/>
      <w:numFmt w:val="bullet"/>
      <w:lvlText w:val=""/>
      <w:lvlJc w:val="left"/>
      <w:pPr>
        <w:tabs>
          <w:tab w:val="num" w:pos="360"/>
        </w:tabs>
        <w:ind w:left="360" w:hanging="360"/>
      </w:pPr>
      <w:rPr>
        <w:rFonts w:ascii="Wingdings" w:hAnsi="Wingdings" w:hint="default"/>
        <w:b w:val="0"/>
        <w:i w:val="0"/>
        <w:color w:val="999999"/>
        <w:u w:color="999999"/>
      </w:rPr>
    </w:lvl>
    <w:lvl w:ilvl="1" w:tplc="0C070003" w:tentative="1">
      <w:start w:val="1"/>
      <w:numFmt w:val="bullet"/>
      <w:lvlText w:val="o"/>
      <w:lvlJc w:val="left"/>
      <w:pPr>
        <w:tabs>
          <w:tab w:val="num" w:pos="1080"/>
        </w:tabs>
        <w:ind w:left="1080" w:hanging="360"/>
      </w:pPr>
      <w:rPr>
        <w:rFonts w:ascii="Courier New" w:hAnsi="Courier New" w:cs="Marlett"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Marlett"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Marlett"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904591"/>
    <w:multiLevelType w:val="hybridMultilevel"/>
    <w:tmpl w:val="08C48954"/>
    <w:lvl w:ilvl="0" w:tplc="FFB8D714">
      <w:start w:val="1"/>
      <w:numFmt w:val="bullet"/>
      <w:lvlText w:val=""/>
      <w:lvlJc w:val="left"/>
      <w:pPr>
        <w:tabs>
          <w:tab w:val="num" w:pos="360"/>
        </w:tabs>
        <w:ind w:left="360" w:hanging="360"/>
      </w:pPr>
      <w:rPr>
        <w:rFonts w:ascii="Wingdings" w:hAnsi="Wingdings" w:hint="default"/>
        <w:b w:val="0"/>
        <w:i w:val="0"/>
        <w:color w:val="999999"/>
        <w:u w:color="999999"/>
      </w:rPr>
    </w:lvl>
    <w:lvl w:ilvl="1" w:tplc="0C070003" w:tentative="1">
      <w:start w:val="1"/>
      <w:numFmt w:val="bullet"/>
      <w:lvlText w:val="o"/>
      <w:lvlJc w:val="left"/>
      <w:pPr>
        <w:tabs>
          <w:tab w:val="num" w:pos="1440"/>
        </w:tabs>
        <w:ind w:left="1440" w:hanging="360"/>
      </w:pPr>
      <w:rPr>
        <w:rFonts w:ascii="Courier New" w:hAnsi="Courier New" w:cs="Marlet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Marlett"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Marlett"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777457"/>
    <w:multiLevelType w:val="hybridMultilevel"/>
    <w:tmpl w:val="21D8B638"/>
    <w:lvl w:ilvl="0" w:tplc="8D128F44">
      <w:numFmt w:val="bullet"/>
      <w:lvlText w:val=""/>
      <w:lvlJc w:val="left"/>
      <w:pPr>
        <w:tabs>
          <w:tab w:val="num" w:pos="360"/>
        </w:tabs>
        <w:ind w:left="360" w:hanging="360"/>
      </w:pPr>
      <w:rPr>
        <w:rFonts w:ascii="Wingdings" w:eastAsia="Times New Roman" w:hAnsi="Wingdings" w:cs="Marlett" w:hint="default"/>
      </w:rPr>
    </w:lvl>
    <w:lvl w:ilvl="1" w:tplc="0C070003" w:tentative="1">
      <w:start w:val="1"/>
      <w:numFmt w:val="bullet"/>
      <w:lvlText w:val="o"/>
      <w:lvlJc w:val="left"/>
      <w:pPr>
        <w:tabs>
          <w:tab w:val="num" w:pos="1080"/>
        </w:tabs>
        <w:ind w:left="1080" w:hanging="360"/>
      </w:pPr>
      <w:rPr>
        <w:rFonts w:ascii="Courier New" w:hAnsi="Courier New" w:cs="Marlett"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Marlett"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Marlett"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6E63AA2"/>
    <w:multiLevelType w:val="hybridMultilevel"/>
    <w:tmpl w:val="2006D444"/>
    <w:lvl w:ilvl="0" w:tplc="FFB8D714">
      <w:start w:val="1"/>
      <w:numFmt w:val="bullet"/>
      <w:lvlText w:val=""/>
      <w:lvlJc w:val="left"/>
      <w:pPr>
        <w:tabs>
          <w:tab w:val="num" w:pos="360"/>
        </w:tabs>
        <w:ind w:left="360" w:hanging="360"/>
      </w:pPr>
      <w:rPr>
        <w:rFonts w:ascii="Wingdings" w:hAnsi="Wingdings" w:hint="default"/>
        <w:b w:val="0"/>
        <w:i w:val="0"/>
        <w:caps w:val="0"/>
        <w:strike w:val="0"/>
        <w:dstrike w:val="0"/>
        <w:vanish w:val="0"/>
        <w:color w:val="999999"/>
        <w:sz w:val="20"/>
        <w:szCs w:val="20"/>
        <w:u w:color="999999"/>
        <w:vertAlign w:val="baseline"/>
      </w:rPr>
    </w:lvl>
    <w:lvl w:ilvl="1" w:tplc="0C070003" w:tentative="1">
      <w:start w:val="1"/>
      <w:numFmt w:val="bullet"/>
      <w:lvlText w:val="o"/>
      <w:lvlJc w:val="left"/>
      <w:pPr>
        <w:tabs>
          <w:tab w:val="num" w:pos="1440"/>
        </w:tabs>
        <w:ind w:left="1440" w:hanging="360"/>
      </w:pPr>
      <w:rPr>
        <w:rFonts w:ascii="Courier New" w:hAnsi="Courier New" w:cs="Marlet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Marlett"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Marlett"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B674F8"/>
    <w:multiLevelType w:val="hybridMultilevel"/>
    <w:tmpl w:val="2F32E172"/>
    <w:lvl w:ilvl="0" w:tplc="F752B43E">
      <w:start w:val="1"/>
      <w:numFmt w:val="bullet"/>
      <w:lvlText w:val=""/>
      <w:lvlJc w:val="left"/>
      <w:pPr>
        <w:tabs>
          <w:tab w:val="num" w:pos="360"/>
        </w:tabs>
        <w:ind w:left="360" w:hanging="360"/>
      </w:pPr>
      <w:rPr>
        <w:rFonts w:ascii="Wingdings" w:hAnsi="Wingdings" w:hint="default"/>
        <w:b w:val="0"/>
        <w:i w:val="0"/>
        <w:caps w:val="0"/>
        <w:strike w:val="0"/>
        <w:dstrike w:val="0"/>
        <w:vanish w:val="0"/>
        <w:color w:val="585858"/>
        <w:sz w:val="20"/>
        <w:szCs w:val="24"/>
        <w:u w:color="999999"/>
        <w:vertAlign w:val="baseline"/>
      </w:rPr>
    </w:lvl>
    <w:lvl w:ilvl="1" w:tplc="0C070003" w:tentative="1">
      <w:start w:val="1"/>
      <w:numFmt w:val="bullet"/>
      <w:lvlText w:val="o"/>
      <w:lvlJc w:val="left"/>
      <w:pPr>
        <w:tabs>
          <w:tab w:val="num" w:pos="720"/>
        </w:tabs>
        <w:ind w:left="720" w:hanging="360"/>
      </w:pPr>
      <w:rPr>
        <w:rFonts w:ascii="Courier New" w:hAnsi="Courier New" w:cs="Courier New" w:hint="default"/>
      </w:rPr>
    </w:lvl>
    <w:lvl w:ilvl="2" w:tplc="0C070005" w:tentative="1">
      <w:start w:val="1"/>
      <w:numFmt w:val="bullet"/>
      <w:lvlText w:val=""/>
      <w:lvlJc w:val="left"/>
      <w:pPr>
        <w:tabs>
          <w:tab w:val="num" w:pos="1440"/>
        </w:tabs>
        <w:ind w:left="1440" w:hanging="360"/>
      </w:pPr>
      <w:rPr>
        <w:rFonts w:ascii="Wingdings" w:hAnsi="Wingdings" w:hint="default"/>
      </w:rPr>
    </w:lvl>
    <w:lvl w:ilvl="3" w:tplc="0C070001" w:tentative="1">
      <w:start w:val="1"/>
      <w:numFmt w:val="bullet"/>
      <w:lvlText w:val=""/>
      <w:lvlJc w:val="left"/>
      <w:pPr>
        <w:tabs>
          <w:tab w:val="num" w:pos="2160"/>
        </w:tabs>
        <w:ind w:left="2160" w:hanging="360"/>
      </w:pPr>
      <w:rPr>
        <w:rFonts w:ascii="Symbol" w:hAnsi="Symbol" w:hint="default"/>
      </w:rPr>
    </w:lvl>
    <w:lvl w:ilvl="4" w:tplc="0C070003" w:tentative="1">
      <w:start w:val="1"/>
      <w:numFmt w:val="bullet"/>
      <w:lvlText w:val="o"/>
      <w:lvlJc w:val="left"/>
      <w:pPr>
        <w:tabs>
          <w:tab w:val="num" w:pos="2880"/>
        </w:tabs>
        <w:ind w:left="2880" w:hanging="360"/>
      </w:pPr>
      <w:rPr>
        <w:rFonts w:ascii="Courier New" w:hAnsi="Courier New" w:cs="Courier New" w:hint="default"/>
      </w:rPr>
    </w:lvl>
    <w:lvl w:ilvl="5" w:tplc="0C070005" w:tentative="1">
      <w:start w:val="1"/>
      <w:numFmt w:val="bullet"/>
      <w:lvlText w:val=""/>
      <w:lvlJc w:val="left"/>
      <w:pPr>
        <w:tabs>
          <w:tab w:val="num" w:pos="3600"/>
        </w:tabs>
        <w:ind w:left="3600" w:hanging="360"/>
      </w:pPr>
      <w:rPr>
        <w:rFonts w:ascii="Wingdings" w:hAnsi="Wingdings" w:hint="default"/>
      </w:rPr>
    </w:lvl>
    <w:lvl w:ilvl="6" w:tplc="0C070001" w:tentative="1">
      <w:start w:val="1"/>
      <w:numFmt w:val="bullet"/>
      <w:lvlText w:val=""/>
      <w:lvlJc w:val="left"/>
      <w:pPr>
        <w:tabs>
          <w:tab w:val="num" w:pos="4320"/>
        </w:tabs>
        <w:ind w:left="4320" w:hanging="360"/>
      </w:pPr>
      <w:rPr>
        <w:rFonts w:ascii="Symbol" w:hAnsi="Symbol" w:hint="default"/>
      </w:rPr>
    </w:lvl>
    <w:lvl w:ilvl="7" w:tplc="0C070003" w:tentative="1">
      <w:start w:val="1"/>
      <w:numFmt w:val="bullet"/>
      <w:lvlText w:val="o"/>
      <w:lvlJc w:val="left"/>
      <w:pPr>
        <w:tabs>
          <w:tab w:val="num" w:pos="5040"/>
        </w:tabs>
        <w:ind w:left="5040" w:hanging="360"/>
      </w:pPr>
      <w:rPr>
        <w:rFonts w:ascii="Courier New" w:hAnsi="Courier New" w:cs="Courier New" w:hint="default"/>
      </w:rPr>
    </w:lvl>
    <w:lvl w:ilvl="8" w:tplc="0C07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67EB67EE"/>
    <w:multiLevelType w:val="hybridMultilevel"/>
    <w:tmpl w:val="D236075E"/>
    <w:lvl w:ilvl="0" w:tplc="736A4558">
      <w:start w:val="1"/>
      <w:numFmt w:val="bullet"/>
      <w:lvlText w:val=""/>
      <w:lvlJc w:val="left"/>
      <w:pPr>
        <w:tabs>
          <w:tab w:val="num" w:pos="360"/>
        </w:tabs>
        <w:ind w:left="360" w:hanging="360"/>
      </w:pPr>
      <w:rPr>
        <w:rFonts w:ascii="Wingdings" w:hAnsi="Wingdings" w:hint="default"/>
        <w:b w:val="0"/>
        <w:i w:val="0"/>
        <w:caps w:val="0"/>
        <w:strike w:val="0"/>
        <w:dstrike w:val="0"/>
        <w:vanish w:val="0"/>
        <w:color w:val="auto"/>
        <w:sz w:val="20"/>
        <w:szCs w:val="20"/>
        <w:u w:color="999999"/>
        <w:vertAlign w:val="baseline"/>
      </w:rPr>
    </w:lvl>
    <w:lvl w:ilvl="1" w:tplc="0C070003" w:tentative="1">
      <w:start w:val="1"/>
      <w:numFmt w:val="bullet"/>
      <w:lvlText w:val="o"/>
      <w:lvlJc w:val="left"/>
      <w:pPr>
        <w:tabs>
          <w:tab w:val="num" w:pos="1440"/>
        </w:tabs>
        <w:ind w:left="1440" w:hanging="360"/>
      </w:pPr>
      <w:rPr>
        <w:rFonts w:ascii="Courier New" w:hAnsi="Courier New" w:cs="Marlet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Marlett"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Marlett"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574C48"/>
    <w:multiLevelType w:val="multilevel"/>
    <w:tmpl w:val="21D8B638"/>
    <w:lvl w:ilvl="0">
      <w:numFmt w:val="bullet"/>
      <w:lvlText w:val=""/>
      <w:lvlJc w:val="left"/>
      <w:pPr>
        <w:tabs>
          <w:tab w:val="num" w:pos="360"/>
        </w:tabs>
        <w:ind w:left="360" w:hanging="360"/>
      </w:pPr>
      <w:rPr>
        <w:rFonts w:ascii="Wingdings" w:eastAsia="Times New Roman" w:hAnsi="Wingdings" w:cs="Marlett" w:hint="default"/>
      </w:rPr>
    </w:lvl>
    <w:lvl w:ilvl="1">
      <w:start w:val="1"/>
      <w:numFmt w:val="bullet"/>
      <w:lvlText w:val="o"/>
      <w:lvlJc w:val="left"/>
      <w:pPr>
        <w:tabs>
          <w:tab w:val="num" w:pos="1080"/>
        </w:tabs>
        <w:ind w:left="1080" w:hanging="360"/>
      </w:pPr>
      <w:rPr>
        <w:rFonts w:ascii="Courier New" w:hAnsi="Courier New" w:cs="Marlett"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Marlett"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Marlett"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E76761"/>
    <w:multiLevelType w:val="multilevel"/>
    <w:tmpl w:val="D236075E"/>
    <w:lvl w:ilvl="0">
      <w:start w:val="1"/>
      <w:numFmt w:val="bullet"/>
      <w:lvlText w:val=""/>
      <w:lvlJc w:val="left"/>
      <w:pPr>
        <w:tabs>
          <w:tab w:val="num" w:pos="360"/>
        </w:tabs>
        <w:ind w:left="360" w:hanging="360"/>
      </w:pPr>
      <w:rPr>
        <w:rFonts w:ascii="Wingdings" w:hAnsi="Wingdings" w:hint="default"/>
        <w:b w:val="0"/>
        <w:i w:val="0"/>
        <w:caps w:val="0"/>
        <w:strike w:val="0"/>
        <w:dstrike w:val="0"/>
        <w:vanish w:val="0"/>
        <w:color w:val="auto"/>
        <w:sz w:val="20"/>
        <w:szCs w:val="20"/>
        <w:u w:color="999999"/>
        <w:vertAlign w:val="baseline"/>
      </w:rPr>
    </w:lvl>
    <w:lvl w:ilvl="1">
      <w:start w:val="1"/>
      <w:numFmt w:val="bullet"/>
      <w:lvlText w:val="o"/>
      <w:lvlJc w:val="left"/>
      <w:pPr>
        <w:tabs>
          <w:tab w:val="num" w:pos="1440"/>
        </w:tabs>
        <w:ind w:left="1440" w:hanging="360"/>
      </w:pPr>
      <w:rPr>
        <w:rFonts w:ascii="Courier New" w:hAnsi="Courier New" w:cs="Marlet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arlet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arlett"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4138BB"/>
    <w:multiLevelType w:val="hybridMultilevel"/>
    <w:tmpl w:val="AE684856"/>
    <w:lvl w:ilvl="0" w:tplc="8D128F44">
      <w:numFmt w:val="bullet"/>
      <w:lvlText w:val=""/>
      <w:lvlJc w:val="left"/>
      <w:pPr>
        <w:tabs>
          <w:tab w:val="num" w:pos="720"/>
        </w:tabs>
        <w:ind w:left="720" w:hanging="360"/>
      </w:pPr>
      <w:rPr>
        <w:rFonts w:ascii="Wingdings" w:eastAsia="Times New Roman" w:hAnsi="Wingdings" w:cs="Marlett" w:hint="default"/>
      </w:rPr>
    </w:lvl>
    <w:lvl w:ilvl="1" w:tplc="0C070003" w:tentative="1">
      <w:start w:val="1"/>
      <w:numFmt w:val="bullet"/>
      <w:lvlText w:val="o"/>
      <w:lvlJc w:val="left"/>
      <w:pPr>
        <w:tabs>
          <w:tab w:val="num" w:pos="1440"/>
        </w:tabs>
        <w:ind w:left="1440" w:hanging="360"/>
      </w:pPr>
      <w:rPr>
        <w:rFonts w:ascii="Courier New" w:hAnsi="Courier New" w:cs="Marlet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Marlett"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Marlett"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B0576B"/>
    <w:multiLevelType w:val="hybridMultilevel"/>
    <w:tmpl w:val="EEB88B88"/>
    <w:lvl w:ilvl="0" w:tplc="46848912">
      <w:start w:val="1"/>
      <w:numFmt w:val="bullet"/>
      <w:lvlText w:val=""/>
      <w:lvlJc w:val="left"/>
      <w:pPr>
        <w:tabs>
          <w:tab w:val="num" w:pos="720"/>
        </w:tabs>
        <w:ind w:left="720" w:hanging="360"/>
      </w:pPr>
      <w:rPr>
        <w:rFonts w:ascii="Marlett" w:hAnsi="Marlett" w:hint="default"/>
        <w:color w:val="auto"/>
      </w:rPr>
    </w:lvl>
    <w:lvl w:ilvl="1" w:tplc="0C070003" w:tentative="1">
      <w:start w:val="1"/>
      <w:numFmt w:val="bullet"/>
      <w:lvlText w:val="o"/>
      <w:lvlJc w:val="left"/>
      <w:pPr>
        <w:tabs>
          <w:tab w:val="num" w:pos="1440"/>
        </w:tabs>
        <w:ind w:left="1440" w:hanging="360"/>
      </w:pPr>
      <w:rPr>
        <w:rFonts w:ascii="Courier New" w:hAnsi="Courier New" w:cs="Marlet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Marlett"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Marlett"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0948D1"/>
    <w:multiLevelType w:val="hybridMultilevel"/>
    <w:tmpl w:val="99CA84F2"/>
    <w:lvl w:ilvl="0" w:tplc="8368D6F8">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2"/>
  </w:num>
  <w:num w:numId="4">
    <w:abstractNumId w:val="6"/>
  </w:num>
  <w:num w:numId="5">
    <w:abstractNumId w:val="0"/>
  </w:num>
  <w:num w:numId="6">
    <w:abstractNumId w:val="5"/>
  </w:num>
  <w:num w:numId="7">
    <w:abstractNumId w:val="10"/>
  </w:num>
  <w:num w:numId="8">
    <w:abstractNumId w:val="7"/>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characterSpacingControl w:val="doNotCompress"/>
  <w:hdrShapeDefaults>
    <o:shapedefaults v:ext="edit" spidmax="6145" fill="f" fillcolor="white" stroke="f">
      <v:fill color="white" on="f"/>
      <v:stroke on="f"/>
      <v:shadow offset=".74831mm,.7483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E9"/>
    <w:rsid w:val="000240BC"/>
    <w:rsid w:val="00094D1F"/>
    <w:rsid w:val="000A5CB6"/>
    <w:rsid w:val="000B5039"/>
    <w:rsid w:val="000C277E"/>
    <w:rsid w:val="000D4F4B"/>
    <w:rsid w:val="000D7C6E"/>
    <w:rsid w:val="000E503D"/>
    <w:rsid w:val="0010574A"/>
    <w:rsid w:val="00120A55"/>
    <w:rsid w:val="00122813"/>
    <w:rsid w:val="0016029D"/>
    <w:rsid w:val="0018442B"/>
    <w:rsid w:val="00187ABB"/>
    <w:rsid w:val="001E1962"/>
    <w:rsid w:val="001E52FD"/>
    <w:rsid w:val="001F5BBA"/>
    <w:rsid w:val="001F61B3"/>
    <w:rsid w:val="002116ED"/>
    <w:rsid w:val="002148B5"/>
    <w:rsid w:val="0022547A"/>
    <w:rsid w:val="00263A2B"/>
    <w:rsid w:val="002C3591"/>
    <w:rsid w:val="002D140F"/>
    <w:rsid w:val="002D2C70"/>
    <w:rsid w:val="002E23AC"/>
    <w:rsid w:val="00341872"/>
    <w:rsid w:val="00351591"/>
    <w:rsid w:val="00371277"/>
    <w:rsid w:val="003A215A"/>
    <w:rsid w:val="003A4CE0"/>
    <w:rsid w:val="003B05C6"/>
    <w:rsid w:val="003B1E53"/>
    <w:rsid w:val="003D5159"/>
    <w:rsid w:val="003E0FE3"/>
    <w:rsid w:val="003F076F"/>
    <w:rsid w:val="00410F04"/>
    <w:rsid w:val="004145E5"/>
    <w:rsid w:val="004237E7"/>
    <w:rsid w:val="004528C2"/>
    <w:rsid w:val="004A27DE"/>
    <w:rsid w:val="004D0087"/>
    <w:rsid w:val="004D09C0"/>
    <w:rsid w:val="004D6874"/>
    <w:rsid w:val="004E4A74"/>
    <w:rsid w:val="00517BC9"/>
    <w:rsid w:val="005608A5"/>
    <w:rsid w:val="005A72E9"/>
    <w:rsid w:val="005B14B6"/>
    <w:rsid w:val="005B2088"/>
    <w:rsid w:val="005C265B"/>
    <w:rsid w:val="00654164"/>
    <w:rsid w:val="00664528"/>
    <w:rsid w:val="006800FF"/>
    <w:rsid w:val="0068437D"/>
    <w:rsid w:val="00697600"/>
    <w:rsid w:val="0070184E"/>
    <w:rsid w:val="00707261"/>
    <w:rsid w:val="007333AB"/>
    <w:rsid w:val="007B1E7F"/>
    <w:rsid w:val="007D62D8"/>
    <w:rsid w:val="008375DA"/>
    <w:rsid w:val="008C4C75"/>
    <w:rsid w:val="0091388C"/>
    <w:rsid w:val="00917575"/>
    <w:rsid w:val="00954EBA"/>
    <w:rsid w:val="009662B9"/>
    <w:rsid w:val="00966C70"/>
    <w:rsid w:val="009D728C"/>
    <w:rsid w:val="009E5D68"/>
    <w:rsid w:val="00A37D67"/>
    <w:rsid w:val="00A401CE"/>
    <w:rsid w:val="00A47483"/>
    <w:rsid w:val="00A47DE7"/>
    <w:rsid w:val="00AB7FEE"/>
    <w:rsid w:val="00AC404A"/>
    <w:rsid w:val="00AD5C8A"/>
    <w:rsid w:val="00B2764F"/>
    <w:rsid w:val="00B37307"/>
    <w:rsid w:val="00B732B0"/>
    <w:rsid w:val="00BA4826"/>
    <w:rsid w:val="00BB1D95"/>
    <w:rsid w:val="00BD1567"/>
    <w:rsid w:val="00BE51E5"/>
    <w:rsid w:val="00C1168B"/>
    <w:rsid w:val="00C2594F"/>
    <w:rsid w:val="00C65CC4"/>
    <w:rsid w:val="00C6703E"/>
    <w:rsid w:val="00C8153A"/>
    <w:rsid w:val="00C87963"/>
    <w:rsid w:val="00C9008F"/>
    <w:rsid w:val="00C901E4"/>
    <w:rsid w:val="00CA7638"/>
    <w:rsid w:val="00CA77CB"/>
    <w:rsid w:val="00CB1B8E"/>
    <w:rsid w:val="00CF12F2"/>
    <w:rsid w:val="00CF79CB"/>
    <w:rsid w:val="00D306DC"/>
    <w:rsid w:val="00D84B6F"/>
    <w:rsid w:val="00E019EC"/>
    <w:rsid w:val="00E213E0"/>
    <w:rsid w:val="00E2499C"/>
    <w:rsid w:val="00E37E22"/>
    <w:rsid w:val="00E5288E"/>
    <w:rsid w:val="00E67548"/>
    <w:rsid w:val="00E8701B"/>
    <w:rsid w:val="00E871C2"/>
    <w:rsid w:val="00EC1A78"/>
    <w:rsid w:val="00EC4D0E"/>
    <w:rsid w:val="00F36EFC"/>
    <w:rsid w:val="00F81BDF"/>
    <w:rsid w:val="00FA79C3"/>
    <w:rsid w:val="00FB2324"/>
    <w:rsid w:val="00FF49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f" fillcolor="white" stroke="f">
      <v:fill color="white" on="f"/>
      <v:stroke on="f"/>
      <v:shadow offset=".74831mm,.74831mm"/>
    </o:shapedefaults>
    <o:shapelayout v:ext="edit">
      <o:idmap v:ext="edit" data="1"/>
    </o:shapelayout>
  </w:shapeDefaults>
  <w:doNotEmbedSmartTags/>
  <w:decimalSymbol w:val=","/>
  <w:listSeparator w:val=";"/>
  <w15:docId w15:val="{B3B4F4A3-3EDB-4C90-AB9A-3AB15967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1168B"/>
    <w:rPr>
      <w:rFonts w:asciiTheme="minorHAnsi" w:eastAsiaTheme="minorHAnsi" w:hAnsiTheme="minorHAnsi" w:cstheme="minorBidi"/>
      <w:sz w:val="22"/>
      <w:szCs w:val="22"/>
      <w:lang w:val="de-DE" w:eastAsia="en-US"/>
    </w:rPr>
  </w:style>
  <w:style w:type="paragraph" w:styleId="berschrift1">
    <w:name w:val="heading 1"/>
    <w:basedOn w:val="Standard"/>
    <w:next w:val="Standard"/>
    <w:qFormat/>
    <w:pPr>
      <w:keepNext/>
      <w:spacing w:after="60" w:line="220" w:lineRule="atLeast"/>
      <w:outlineLvl w:val="0"/>
    </w:pPr>
    <w:rPr>
      <w:rFonts w:ascii="Arial" w:eastAsia="Times New Roman" w:hAnsi="Arial" w:cs="Arial"/>
      <w:b/>
      <w:bCs/>
      <w:color w:val="FF0000"/>
      <w:sz w:val="20"/>
      <w:szCs w:val="20"/>
      <w:lang w:val="de-AT" w:eastAsia="de-AT"/>
    </w:rPr>
  </w:style>
  <w:style w:type="paragraph" w:styleId="berschrift2">
    <w:name w:val="heading 2"/>
    <w:basedOn w:val="Standard"/>
    <w:next w:val="Standard"/>
    <w:qFormat/>
    <w:pPr>
      <w:keepNext/>
      <w:spacing w:line="220" w:lineRule="atLeast"/>
      <w:jc w:val="both"/>
      <w:outlineLvl w:val="1"/>
    </w:pPr>
    <w:rPr>
      <w:rFonts w:ascii="Arial" w:eastAsia="Times New Roman" w:hAnsi="Arial" w:cs="Times New Roman"/>
      <w:b/>
      <w:color w:val="CF0000"/>
      <w:sz w:val="20"/>
      <w:szCs w:val="24"/>
      <w:lang w:val="de-AT" w:eastAsia="de-AT"/>
    </w:rPr>
  </w:style>
  <w:style w:type="paragraph" w:styleId="berschrift3">
    <w:name w:val="heading 3"/>
    <w:basedOn w:val="Standard"/>
    <w:next w:val="Standard"/>
    <w:qFormat/>
    <w:pPr>
      <w:keepNext/>
      <w:jc w:val="center"/>
      <w:outlineLvl w:val="2"/>
    </w:pPr>
    <w:rPr>
      <w:rFonts w:ascii="Arial" w:eastAsia="Times New Roman" w:hAnsi="Arial" w:cs="Times New Roman"/>
      <w:b/>
      <w:color w:val="CF0000"/>
      <w:sz w:val="17"/>
      <w:szCs w:val="24"/>
      <w:lang w:val="de-AT" w:eastAsia="de-AT"/>
    </w:rPr>
  </w:style>
  <w:style w:type="paragraph" w:styleId="berschrift4">
    <w:name w:val="heading 4"/>
    <w:basedOn w:val="Standard"/>
    <w:next w:val="Standard"/>
    <w:link w:val="berschrift4Zchn"/>
    <w:qFormat/>
    <w:rsid w:val="0070184E"/>
    <w:pPr>
      <w:keepNext/>
      <w:spacing w:before="240" w:after="60"/>
      <w:outlineLvl w:val="3"/>
    </w:pPr>
    <w:rPr>
      <w:rFonts w:ascii="Times New Roman" w:eastAsia="Times New Roman" w:hAnsi="Times New Roman" w:cs="Times New Roman"/>
      <w:b/>
      <w:bCs/>
      <w:sz w:val="28"/>
      <w:szCs w:val="2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Times New Roman" w:eastAsia="Times New Roman" w:hAnsi="Times New Roman" w:cs="Times New Roman"/>
      <w:sz w:val="24"/>
      <w:szCs w:val="24"/>
      <w:lang w:val="de-AT" w:eastAsia="de-AT"/>
    </w:rPr>
  </w:style>
  <w:style w:type="paragraph" w:styleId="Fuzeile">
    <w:name w:val="footer"/>
    <w:basedOn w:val="Standard"/>
    <w:link w:val="FuzeileZchn"/>
    <w:pPr>
      <w:tabs>
        <w:tab w:val="center" w:pos="4536"/>
        <w:tab w:val="right" w:pos="9072"/>
      </w:tabs>
    </w:pPr>
    <w:rPr>
      <w:rFonts w:ascii="Times New Roman" w:eastAsia="Times New Roman" w:hAnsi="Times New Roman" w:cs="Times New Roman"/>
      <w:sz w:val="24"/>
      <w:szCs w:val="24"/>
      <w:lang w:val="de-AT" w:eastAsia="de-AT"/>
    </w:rPr>
  </w:style>
  <w:style w:type="paragraph" w:styleId="Textkrper">
    <w:name w:val="Body Text"/>
    <w:basedOn w:val="Standard"/>
    <w:pPr>
      <w:jc w:val="both"/>
    </w:pPr>
    <w:rPr>
      <w:rFonts w:ascii="Arial" w:eastAsia="Times New Roman" w:hAnsi="Arial" w:cs="Times New Roman"/>
      <w:color w:val="808080"/>
      <w:sz w:val="17"/>
      <w:szCs w:val="24"/>
      <w:lang w:val="de-AT" w:eastAsia="de-AT"/>
    </w:rPr>
  </w:style>
  <w:style w:type="paragraph" w:styleId="Sprechblasentext">
    <w:name w:val="Balloon Text"/>
    <w:basedOn w:val="Standard"/>
    <w:semiHidden/>
    <w:rPr>
      <w:rFonts w:ascii="Tahoma" w:eastAsia="Times New Roman" w:hAnsi="Tahoma" w:cs="Tahoma"/>
      <w:sz w:val="16"/>
      <w:szCs w:val="16"/>
    </w:rPr>
  </w:style>
  <w:style w:type="character" w:styleId="Hyperlink">
    <w:name w:val="Hyperlink"/>
    <w:rPr>
      <w:color w:val="0000FF"/>
      <w:u w:val="single"/>
    </w:rPr>
  </w:style>
  <w:style w:type="paragraph" w:styleId="Funotentext">
    <w:name w:val="footnote text"/>
    <w:basedOn w:val="Standard"/>
    <w:semiHidden/>
    <w:rPr>
      <w:rFonts w:ascii="Times New Roman" w:eastAsia="Times New Roman" w:hAnsi="Times New Roman" w:cs="Times New Roman"/>
      <w:sz w:val="20"/>
      <w:szCs w:val="20"/>
      <w:lang w:val="de-AT" w:eastAsia="de-AT"/>
    </w:rPr>
  </w:style>
  <w:style w:type="character" w:styleId="Funotenzeichen">
    <w:name w:val="footnote reference"/>
    <w:semiHidden/>
    <w:rPr>
      <w:vertAlign w:val="superscript"/>
    </w:rPr>
  </w:style>
  <w:style w:type="paragraph" w:styleId="Textkrper2">
    <w:name w:val="Body Text 2"/>
    <w:basedOn w:val="Standard"/>
    <w:pPr>
      <w:spacing w:line="220" w:lineRule="atLeast"/>
      <w:ind w:right="-207"/>
      <w:jc w:val="both"/>
    </w:pPr>
    <w:rPr>
      <w:rFonts w:ascii="Arial" w:eastAsia="Times New Roman" w:hAnsi="Arial" w:cs="Times New Roman"/>
      <w:color w:val="333333"/>
      <w:sz w:val="18"/>
      <w:szCs w:val="24"/>
      <w:lang w:val="de-AT" w:eastAsia="de-AT"/>
    </w:rPr>
  </w:style>
  <w:style w:type="character" w:styleId="BesuchterLink">
    <w:name w:val="FollowedHyperlink"/>
    <w:rsid w:val="00C655DB"/>
    <w:rPr>
      <w:color w:val="800080"/>
      <w:u w:val="single"/>
    </w:rPr>
  </w:style>
  <w:style w:type="character" w:customStyle="1" w:styleId="berschrift4Zchn">
    <w:name w:val="Überschrift 4 Zchn"/>
    <w:link w:val="berschrift4"/>
    <w:rsid w:val="0070184E"/>
    <w:rPr>
      <w:b/>
      <w:bCs/>
      <w:sz w:val="28"/>
      <w:szCs w:val="28"/>
    </w:rPr>
  </w:style>
  <w:style w:type="character" w:customStyle="1" w:styleId="FuzeileZchn">
    <w:name w:val="Fußzeile Zchn"/>
    <w:link w:val="Fuzeile"/>
    <w:rsid w:val="004D0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ienerboerse.a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WBAG\Formulare\Memo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Memo1.dotx</Template>
  <TotalTime>0</TotalTime>
  <Pages>1</Pages>
  <Words>411</Words>
  <Characters>2392</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DIE WIENER BÖRSE</vt:lpstr>
    </vt:vector>
  </TitlesOfParts>
  <Company>Wiener Boerse AG</Company>
  <LinksUpToDate>false</LinksUpToDate>
  <CharactersWithSpaces>2798</CharactersWithSpaces>
  <SharedDoc>false</SharedDoc>
  <HLinks>
    <vt:vector size="6" baseType="variant">
      <vt:variant>
        <vt:i4>7471164</vt:i4>
      </vt:variant>
      <vt:variant>
        <vt:i4>0</vt:i4>
      </vt:variant>
      <vt:variant>
        <vt:i4>0</vt:i4>
      </vt:variant>
      <vt:variant>
        <vt:i4>5</vt:i4>
      </vt:variant>
      <vt:variant>
        <vt:lpwstr>http://www.wienerboerse.at/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WIENER BÖRSE</dc:title>
  <dc:subject/>
  <dc:creator>SCHATZ, Anita</dc:creator>
  <cp:keywords/>
  <cp:lastModifiedBy>FRANK, Stephanie</cp:lastModifiedBy>
  <cp:revision>2</cp:revision>
  <cp:lastPrinted>2020-10-21T07:18:00Z</cp:lastPrinted>
  <dcterms:created xsi:type="dcterms:W3CDTF">2021-01-13T07:31:00Z</dcterms:created>
  <dcterms:modified xsi:type="dcterms:W3CDTF">2021-01-13T07:31:00Z</dcterms:modified>
</cp:coreProperties>
</file>