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68B" w:rsidRDefault="00C1168B" w:rsidP="00C1168B">
      <w:pPr>
        <w:rPr>
          <w:rFonts w:cs="Arial"/>
          <w:lang w:val="en-GB"/>
        </w:rPr>
      </w:pPr>
      <w:bookmarkStart w:id="0" w:name="_GoBack"/>
      <w:bookmarkEnd w:id="0"/>
    </w:p>
    <w:p w:rsidR="00C1168B" w:rsidRDefault="00C1168B" w:rsidP="00C1168B">
      <w:pPr>
        <w:rPr>
          <w:rFonts w:ascii="Arial" w:hAnsi="Arial" w:cs="Arial"/>
          <w:b/>
          <w:bCs/>
          <w:sz w:val="20"/>
          <w:szCs w:val="20"/>
          <w:lang w:val="en-US"/>
        </w:rPr>
      </w:pPr>
    </w:p>
    <w:p w:rsidR="002C1B71" w:rsidRDefault="002C1B71" w:rsidP="00C1168B">
      <w:pPr>
        <w:rPr>
          <w:rFonts w:ascii="Arial" w:hAnsi="Arial" w:cs="Arial"/>
          <w:b/>
          <w:bCs/>
          <w:sz w:val="20"/>
          <w:szCs w:val="20"/>
          <w:lang w:val="en-US"/>
        </w:rPr>
      </w:pPr>
    </w:p>
    <w:p w:rsidR="009A4C24" w:rsidRDefault="009A4C24" w:rsidP="00C1168B">
      <w:pPr>
        <w:rPr>
          <w:rFonts w:ascii="Arial" w:hAnsi="Arial" w:cs="Arial"/>
          <w:b/>
          <w:bCs/>
          <w:sz w:val="20"/>
          <w:szCs w:val="20"/>
          <w:lang w:val="en-US"/>
        </w:rPr>
      </w:pPr>
    </w:p>
    <w:p w:rsidR="002C1B71" w:rsidRPr="009A4C24" w:rsidRDefault="002C1B71" w:rsidP="002C1B71">
      <w:pPr>
        <w:spacing w:line="260" w:lineRule="atLeast"/>
        <w:ind w:right="22"/>
        <w:jc w:val="both"/>
        <w:rPr>
          <w:rFonts w:ascii="Arial" w:hAnsi="Arial" w:cs="Arial"/>
          <w:b/>
          <w:sz w:val="20"/>
          <w:szCs w:val="20"/>
        </w:rPr>
      </w:pPr>
      <w:r w:rsidRPr="009A4C24">
        <w:rPr>
          <w:rFonts w:ascii="Arial" w:hAnsi="Arial" w:cs="Arial"/>
          <w:b/>
          <w:sz w:val="20"/>
          <w:szCs w:val="20"/>
        </w:rPr>
        <w:t>Ein Vierteljahrtausend Wiener Börse in 250 Wörtern:</w:t>
      </w:r>
    </w:p>
    <w:p w:rsidR="002C1B71" w:rsidRPr="009A4C24" w:rsidRDefault="002C1B71" w:rsidP="002C1B71">
      <w:pPr>
        <w:spacing w:line="260" w:lineRule="atLeast"/>
        <w:ind w:right="22"/>
        <w:jc w:val="both"/>
        <w:rPr>
          <w:rFonts w:ascii="Arial" w:hAnsi="Arial" w:cs="Arial"/>
          <w:b/>
          <w:sz w:val="20"/>
          <w:szCs w:val="20"/>
        </w:rPr>
      </w:pPr>
      <w:r w:rsidRPr="009A4C24">
        <w:rPr>
          <w:rFonts w:ascii="Arial" w:hAnsi="Arial" w:cs="Arial"/>
          <w:b/>
          <w:sz w:val="20"/>
          <w:szCs w:val="20"/>
        </w:rPr>
        <w:t>Vom staatlichen Finanzmarktplatz zum modernen Informationstechnologie- und Service-Anbieter</w:t>
      </w:r>
      <w:r w:rsidRPr="009A4C24">
        <w:rPr>
          <w:rFonts w:ascii="Arial" w:hAnsi="Arial" w:cs="Arial"/>
          <w:sz w:val="20"/>
          <w:szCs w:val="20"/>
        </w:rPr>
        <w:t xml:space="preserve"> </w:t>
      </w:r>
    </w:p>
    <w:p w:rsidR="002C1B71" w:rsidRPr="009A4C24" w:rsidRDefault="002C1B71" w:rsidP="002C1B71">
      <w:pPr>
        <w:spacing w:line="260" w:lineRule="atLeast"/>
        <w:ind w:right="22"/>
        <w:jc w:val="both"/>
        <w:rPr>
          <w:rFonts w:ascii="Arial" w:hAnsi="Arial" w:cs="Arial"/>
          <w:sz w:val="20"/>
          <w:szCs w:val="20"/>
        </w:rPr>
      </w:pPr>
      <w:r w:rsidRPr="009A4C24">
        <w:rPr>
          <w:rFonts w:ascii="Arial" w:hAnsi="Arial" w:cs="Arial"/>
          <w:sz w:val="20"/>
          <w:szCs w:val="20"/>
        </w:rPr>
        <w:t>Erste Bestrebungen zur Gründung einer Börse gab es im Jahr 1761. Zehn Jahre später wurden die Pläne in die Tat umgesetzt: Maria Theresia erließ am 1. August 1771 per Patent die Eröffnung einer staatlichen Börse, um das Vertrauen in den Staatshaushalt der Habsburger zu stärken. Der erste Handelstag fand am 2.</w:t>
      </w:r>
      <w:r w:rsidR="003E461E">
        <w:rPr>
          <w:rFonts w:ascii="Arial" w:hAnsi="Arial" w:cs="Arial"/>
          <w:sz w:val="20"/>
          <w:szCs w:val="20"/>
        </w:rPr>
        <w:t> </w:t>
      </w:r>
      <w:r w:rsidRPr="009A4C24">
        <w:rPr>
          <w:rFonts w:ascii="Arial" w:hAnsi="Arial" w:cs="Arial"/>
          <w:sz w:val="20"/>
          <w:szCs w:val="20"/>
        </w:rPr>
        <w:t xml:space="preserve">September 1771 statt. Anfänglich wurden Anleihen, Wechsel und Devisen gehandelt. Börsenmakler, auch Sensale genannt, sorgten für den reibungslosen Handel und erhielten für die Vermittlung der Geschäfte eine Provision. Die erste Börse war am Kohlmarkt 12 (jetzt Kohlmarkt 16) untergebracht. Von dort ist sie in diesem Vierteljahrtausend mehrfach umgezogen, aktuell residiert sie – unweit von ihrem ersten Sitz – im </w:t>
      </w:r>
      <w:r w:rsidRPr="009A4C24">
        <w:rPr>
          <w:rFonts w:ascii="Arial" w:hAnsi="Arial" w:cs="Arial"/>
          <w:sz w:val="20"/>
          <w:szCs w:val="20"/>
          <w:lang w:val="de-AT"/>
        </w:rPr>
        <w:t xml:space="preserve">Palais </w:t>
      </w:r>
      <w:proofErr w:type="spellStart"/>
      <w:r w:rsidRPr="009A4C24">
        <w:rPr>
          <w:rFonts w:ascii="Arial" w:hAnsi="Arial" w:cs="Arial"/>
          <w:sz w:val="20"/>
          <w:szCs w:val="20"/>
          <w:lang w:val="de-AT"/>
        </w:rPr>
        <w:t>Caprara-Geymüller</w:t>
      </w:r>
      <w:proofErr w:type="spellEnd"/>
      <w:r w:rsidRPr="009A4C24">
        <w:rPr>
          <w:rFonts w:ascii="Arial" w:hAnsi="Arial" w:cs="Arial"/>
          <w:sz w:val="20"/>
          <w:szCs w:val="20"/>
        </w:rPr>
        <w:t xml:space="preserve"> in der Wallnerstraße 8. </w:t>
      </w:r>
    </w:p>
    <w:p w:rsidR="002C1B71" w:rsidRPr="009A4C24" w:rsidRDefault="002C1B71" w:rsidP="002C1B71">
      <w:pPr>
        <w:spacing w:line="260" w:lineRule="atLeast"/>
        <w:ind w:right="22"/>
        <w:jc w:val="both"/>
        <w:rPr>
          <w:rFonts w:ascii="Arial" w:hAnsi="Arial" w:cs="Arial"/>
          <w:sz w:val="20"/>
          <w:szCs w:val="20"/>
        </w:rPr>
      </w:pPr>
      <w:r w:rsidRPr="009A4C24">
        <w:rPr>
          <w:rFonts w:ascii="Arial" w:hAnsi="Arial" w:cs="Arial"/>
          <w:sz w:val="20"/>
          <w:szCs w:val="20"/>
        </w:rPr>
        <w:br/>
        <w:t xml:space="preserve">Mit der </w:t>
      </w:r>
      <w:proofErr w:type="spellStart"/>
      <w:r w:rsidRPr="009A4C24">
        <w:rPr>
          <w:rFonts w:ascii="Arial" w:hAnsi="Arial" w:cs="Arial"/>
          <w:sz w:val="20"/>
          <w:szCs w:val="20"/>
        </w:rPr>
        <w:t>Oesterreichischen</w:t>
      </w:r>
      <w:proofErr w:type="spellEnd"/>
      <w:r w:rsidRPr="009A4C24">
        <w:rPr>
          <w:rFonts w:ascii="Arial" w:hAnsi="Arial" w:cs="Arial"/>
          <w:sz w:val="20"/>
          <w:szCs w:val="20"/>
        </w:rPr>
        <w:t xml:space="preserve"> Nationalbank notierte ab 1818 die erste Aktie in Wien. Seit 1869 können Anleger auf den Handel von Porr- und Wienerberger-Aktien bauen, die ältesten durchgehend notierten Gesellschaften an der Wiener Börse. Im Mai 1991 wurde der österreichische Leitindex ATX ins Leben gerufen und der Handel zunehmend elektronisch gestaltet. Seit der Einführung von XETRA im Jahr 1999 wird der Handel komplett digital abgewickelt und mit der Anbindung ausländischer Bankhäuser auf Internationalisierung gesetzt. Mit Kooperationsabkommen in Zentral- und Osteuropa, und Mitte der 2000er Jahre auch durch Beteiligungen, erschloss sich die Wiener Börse Partner in der Region. Heute punktet sie dort als Börsen-Infrastruktur-Anbieterin mit IT-Services. Kaum eine andere europäische Börse der gleichen Größenordnung in Europa weist gegenwärtig einen ähnlichen Diversifikations- und Effizienzgrad wie die Wiener Börse auf.</w:t>
      </w:r>
    </w:p>
    <w:p w:rsidR="009A4C24" w:rsidRPr="002C1B71" w:rsidRDefault="009A4C24" w:rsidP="00C1168B">
      <w:pPr>
        <w:rPr>
          <w:rFonts w:ascii="Arial" w:hAnsi="Arial" w:cs="Arial"/>
          <w:b/>
          <w:bCs/>
          <w:sz w:val="20"/>
          <w:szCs w:val="20"/>
        </w:rPr>
      </w:pPr>
    </w:p>
    <w:p w:rsidR="00C1168B" w:rsidRPr="002C1B71" w:rsidRDefault="00C1168B" w:rsidP="009A4C24">
      <w:pPr>
        <w:spacing w:line="240" w:lineRule="atLeast"/>
        <w:rPr>
          <w:rFonts w:ascii="Arial" w:hAnsi="Arial" w:cs="Arial"/>
          <w:b/>
          <w:bCs/>
          <w:sz w:val="20"/>
          <w:szCs w:val="20"/>
          <w:lang w:val="de-AT"/>
        </w:rPr>
      </w:pPr>
    </w:p>
    <w:p w:rsidR="009A4C24" w:rsidRPr="009A4C24" w:rsidRDefault="009A4C24" w:rsidP="009A4C24">
      <w:pPr>
        <w:spacing w:line="260" w:lineRule="atLeast"/>
        <w:jc w:val="both"/>
        <w:rPr>
          <w:rFonts w:ascii="Arial" w:hAnsi="Arial" w:cs="Arial"/>
          <w:b/>
          <w:bCs/>
          <w:sz w:val="20"/>
          <w:szCs w:val="20"/>
          <w:lang w:val="en-US"/>
        </w:rPr>
      </w:pPr>
      <w:r w:rsidRPr="009A4C24">
        <w:rPr>
          <w:rFonts w:ascii="Arial" w:hAnsi="Arial" w:cs="Arial"/>
          <w:b/>
          <w:bCs/>
          <w:sz w:val="20"/>
          <w:szCs w:val="20"/>
          <w:lang w:val="en-US"/>
        </w:rPr>
        <w:t>Quarter of a millennium: From a state-run marketplace to a modern provider of information technology and services</w:t>
      </w:r>
    </w:p>
    <w:p w:rsidR="009A4C24" w:rsidRPr="009A4C24" w:rsidRDefault="009A4C24" w:rsidP="009A4C24">
      <w:pPr>
        <w:spacing w:line="260" w:lineRule="atLeast"/>
        <w:jc w:val="both"/>
        <w:rPr>
          <w:rFonts w:ascii="Arial" w:hAnsi="Arial" w:cs="Arial"/>
          <w:sz w:val="20"/>
          <w:szCs w:val="20"/>
          <w:lang w:val="en-US"/>
        </w:rPr>
      </w:pPr>
      <w:r w:rsidRPr="009A4C24">
        <w:rPr>
          <w:rFonts w:ascii="Arial" w:hAnsi="Arial" w:cs="Arial"/>
          <w:sz w:val="20"/>
          <w:szCs w:val="20"/>
          <w:lang w:val="en-US"/>
        </w:rPr>
        <w:t>The first efforts to establish a stock exchange in Austria were made in 1761. Ten years later, the plans were put into practice. On 1 August 1771, Maria Theresa issued the charter establishing the state-run stock exchange with the aim of strengthening confidence in the state finances of the Habsburg monarchy. The first day of trading took place on 2 September 1771. Initially, only bonds, bills of exchange and foreign currencies were traded. Stockbrokers, called ‘</w:t>
      </w:r>
      <w:proofErr w:type="spellStart"/>
      <w:r w:rsidRPr="009A4C24">
        <w:rPr>
          <w:rFonts w:ascii="Arial" w:hAnsi="Arial" w:cs="Arial"/>
          <w:sz w:val="20"/>
          <w:szCs w:val="20"/>
          <w:lang w:val="en-US"/>
        </w:rPr>
        <w:t>Sensale</w:t>
      </w:r>
      <w:proofErr w:type="spellEnd"/>
      <w:r w:rsidRPr="009A4C24">
        <w:rPr>
          <w:rFonts w:ascii="Arial" w:hAnsi="Arial" w:cs="Arial"/>
          <w:sz w:val="20"/>
          <w:szCs w:val="20"/>
          <w:lang w:val="en-US"/>
        </w:rPr>
        <w:t xml:space="preserve">’ on the Vienna Stock Exchange, ensured smooth trading and received a commission. The first stock exchange was located at </w:t>
      </w:r>
      <w:proofErr w:type="spellStart"/>
      <w:r w:rsidRPr="009A4C24">
        <w:rPr>
          <w:rFonts w:ascii="Arial" w:hAnsi="Arial" w:cs="Arial"/>
          <w:sz w:val="20"/>
          <w:szCs w:val="20"/>
          <w:lang w:val="en-US"/>
        </w:rPr>
        <w:t>Kohlmarkt</w:t>
      </w:r>
      <w:proofErr w:type="spellEnd"/>
      <w:r w:rsidRPr="009A4C24">
        <w:rPr>
          <w:rFonts w:ascii="Arial" w:hAnsi="Arial" w:cs="Arial"/>
          <w:sz w:val="20"/>
          <w:szCs w:val="20"/>
          <w:lang w:val="en-US"/>
        </w:rPr>
        <w:t xml:space="preserve"> 12 (now </w:t>
      </w:r>
      <w:proofErr w:type="spellStart"/>
      <w:r w:rsidRPr="009A4C24">
        <w:rPr>
          <w:rFonts w:ascii="Arial" w:hAnsi="Arial" w:cs="Arial"/>
          <w:sz w:val="20"/>
          <w:szCs w:val="20"/>
          <w:lang w:val="en-US"/>
        </w:rPr>
        <w:t>Kohlmarkt</w:t>
      </w:r>
      <w:proofErr w:type="spellEnd"/>
      <w:r w:rsidRPr="009A4C24">
        <w:rPr>
          <w:rFonts w:ascii="Arial" w:hAnsi="Arial" w:cs="Arial"/>
          <w:sz w:val="20"/>
          <w:szCs w:val="20"/>
          <w:lang w:val="en-US"/>
        </w:rPr>
        <w:t xml:space="preserve"> 16). It moved several times </w:t>
      </w:r>
      <w:proofErr w:type="gramStart"/>
      <w:r w:rsidRPr="009A4C24">
        <w:rPr>
          <w:rFonts w:ascii="Arial" w:hAnsi="Arial" w:cs="Arial"/>
          <w:sz w:val="20"/>
          <w:szCs w:val="20"/>
          <w:lang w:val="en-US"/>
        </w:rPr>
        <w:t>in the course of</w:t>
      </w:r>
      <w:proofErr w:type="gramEnd"/>
      <w:r w:rsidRPr="009A4C24">
        <w:rPr>
          <w:rFonts w:ascii="Arial" w:hAnsi="Arial" w:cs="Arial"/>
          <w:sz w:val="20"/>
          <w:szCs w:val="20"/>
          <w:lang w:val="en-US"/>
        </w:rPr>
        <w:t xml:space="preserve"> the next 250 years and today it resides – not far from its first location – in Palais </w:t>
      </w:r>
      <w:proofErr w:type="spellStart"/>
      <w:r w:rsidRPr="009A4C24">
        <w:rPr>
          <w:rFonts w:ascii="Arial" w:hAnsi="Arial" w:cs="Arial"/>
          <w:sz w:val="20"/>
          <w:szCs w:val="20"/>
          <w:lang w:val="en-US"/>
        </w:rPr>
        <w:t>Caprara-Geymüller</w:t>
      </w:r>
      <w:proofErr w:type="spellEnd"/>
      <w:r w:rsidRPr="009A4C24">
        <w:rPr>
          <w:rFonts w:ascii="Arial" w:hAnsi="Arial" w:cs="Arial"/>
          <w:sz w:val="20"/>
          <w:szCs w:val="20"/>
          <w:lang w:val="en-US"/>
        </w:rPr>
        <w:t xml:space="preserve"> on </w:t>
      </w:r>
      <w:proofErr w:type="spellStart"/>
      <w:r w:rsidRPr="009A4C24">
        <w:rPr>
          <w:rFonts w:ascii="Arial" w:hAnsi="Arial" w:cs="Arial"/>
          <w:sz w:val="20"/>
          <w:szCs w:val="20"/>
          <w:lang w:val="en-US"/>
        </w:rPr>
        <w:t>Wallnerstrasse</w:t>
      </w:r>
      <w:proofErr w:type="spellEnd"/>
      <w:r w:rsidRPr="009A4C24">
        <w:rPr>
          <w:rFonts w:ascii="Arial" w:hAnsi="Arial" w:cs="Arial"/>
          <w:sz w:val="20"/>
          <w:szCs w:val="20"/>
          <w:lang w:val="en-US"/>
        </w:rPr>
        <w:t xml:space="preserve"> 8. </w:t>
      </w:r>
    </w:p>
    <w:p w:rsidR="009A4C24" w:rsidRPr="009A4C24" w:rsidRDefault="009A4C24" w:rsidP="009A4C24">
      <w:pPr>
        <w:spacing w:line="260" w:lineRule="atLeast"/>
        <w:jc w:val="both"/>
        <w:rPr>
          <w:rFonts w:ascii="Arial" w:hAnsi="Arial" w:cs="Arial"/>
          <w:sz w:val="20"/>
          <w:szCs w:val="20"/>
          <w:lang w:val="en-US"/>
        </w:rPr>
      </w:pPr>
    </w:p>
    <w:p w:rsidR="009A4C24" w:rsidRPr="002C1B71" w:rsidRDefault="009A4C24" w:rsidP="002C1B71">
      <w:pPr>
        <w:spacing w:line="260" w:lineRule="atLeast"/>
        <w:jc w:val="both"/>
        <w:rPr>
          <w:rFonts w:ascii="Arial" w:hAnsi="Arial" w:cs="Arial"/>
          <w:sz w:val="20"/>
          <w:szCs w:val="20"/>
          <w:lang w:val="en-US"/>
        </w:rPr>
      </w:pPr>
      <w:r w:rsidRPr="009A4C24">
        <w:rPr>
          <w:rFonts w:ascii="Arial" w:hAnsi="Arial" w:cs="Arial"/>
          <w:sz w:val="20"/>
          <w:szCs w:val="20"/>
          <w:lang w:val="en-US"/>
        </w:rPr>
        <w:t xml:space="preserve">The shares of the Austrian central bank were the first to be listed in Vienna in 1818. Since 1869, investors have been able to trade in the shares of </w:t>
      </w:r>
      <w:proofErr w:type="spellStart"/>
      <w:r w:rsidRPr="009A4C24">
        <w:rPr>
          <w:rFonts w:ascii="Arial" w:hAnsi="Arial" w:cs="Arial"/>
          <w:sz w:val="20"/>
          <w:szCs w:val="20"/>
          <w:lang w:val="en-US"/>
        </w:rPr>
        <w:t>Porr</w:t>
      </w:r>
      <w:proofErr w:type="spellEnd"/>
      <w:r w:rsidRPr="009A4C24">
        <w:rPr>
          <w:rFonts w:ascii="Arial" w:hAnsi="Arial" w:cs="Arial"/>
          <w:sz w:val="20"/>
          <w:szCs w:val="20"/>
          <w:lang w:val="en-US"/>
        </w:rPr>
        <w:t xml:space="preserve"> AG and </w:t>
      </w:r>
      <w:proofErr w:type="spellStart"/>
      <w:r w:rsidRPr="009A4C24">
        <w:rPr>
          <w:rFonts w:ascii="Arial" w:hAnsi="Arial" w:cs="Arial"/>
          <w:sz w:val="20"/>
          <w:szCs w:val="20"/>
          <w:lang w:val="en-US"/>
        </w:rPr>
        <w:t>Wienerberger</w:t>
      </w:r>
      <w:proofErr w:type="spellEnd"/>
      <w:r w:rsidRPr="009A4C24">
        <w:rPr>
          <w:rFonts w:ascii="Arial" w:hAnsi="Arial" w:cs="Arial"/>
          <w:sz w:val="20"/>
          <w:szCs w:val="20"/>
          <w:lang w:val="en-US"/>
        </w:rPr>
        <w:t xml:space="preserve"> AG, the two longest listed companies on the Vienna Stock Exchange. In 1991, the Austrian benchmark index, ATX, was launched and trading became increasingly automated. With the introduction of the </w:t>
      </w:r>
      <w:proofErr w:type="spellStart"/>
      <w:r w:rsidRPr="009A4C24">
        <w:rPr>
          <w:rFonts w:ascii="Arial" w:hAnsi="Arial" w:cs="Arial"/>
          <w:sz w:val="20"/>
          <w:szCs w:val="20"/>
          <w:lang w:val="en-US"/>
        </w:rPr>
        <w:t>Xetra</w:t>
      </w:r>
      <w:proofErr w:type="spellEnd"/>
      <w:r w:rsidRPr="009A4C24">
        <w:rPr>
          <w:rFonts w:ascii="Arial" w:hAnsi="Arial" w:cs="Arial"/>
          <w:sz w:val="20"/>
          <w:szCs w:val="20"/>
          <w:lang w:val="en-US"/>
        </w:rPr>
        <w:t xml:space="preserve"> system in 1999, trading became fully automated. The internationalization of the market advanced rapidly with the connection of foreign banks to the exchange. Wiener Börse AG acquired partners in the region based on cooperation agreements with exchanges in Central and Eastern Europe, and from mid-2000, also through equity investments. Today, its focus as a regional player is on providing stock market infrastructure and IT services. Hardly any other European stock exchange of similar size in Europe has a comparable degree of diversification and efficiency as the Vienna Stock Exchange.</w:t>
      </w:r>
    </w:p>
    <w:sectPr w:rsidR="009A4C24" w:rsidRPr="002C1B71" w:rsidSect="00E5288E">
      <w:headerReference w:type="default" r:id="rId7"/>
      <w:footerReference w:type="default" r:id="rId8"/>
      <w:pgSz w:w="11906" w:h="16838"/>
      <w:pgMar w:top="2268" w:right="907" w:bottom="567" w:left="1418" w:header="709" w:footer="709" w:gutter="0"/>
      <w:cols w:space="708" w:equalWidth="0">
        <w:col w:w="9581" w:space="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E9" w:rsidRDefault="005A72E9">
      <w:r>
        <w:separator/>
      </w:r>
    </w:p>
  </w:endnote>
  <w:endnote w:type="continuationSeparator" w:id="0">
    <w:p w:rsidR="005A72E9" w:rsidRDefault="005A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70" w:rsidRDefault="00E8701B" w:rsidP="00D306DC">
    <w:pPr>
      <w:pStyle w:val="Fuzeile"/>
      <w:rPr>
        <w:rFonts w:ascii="Arial" w:hAnsi="Arial" w:cs="Arial"/>
        <w:sz w:val="15"/>
      </w:rPr>
    </w:pPr>
    <w:r>
      <w:rPr>
        <w:noProof/>
      </w:rPr>
      <w:drawing>
        <wp:anchor distT="0" distB="0" distL="114300" distR="114300" simplePos="0" relativeHeight="251658752" behindDoc="0" locked="0" layoutInCell="1" allowOverlap="1">
          <wp:simplePos x="0" y="0"/>
          <wp:positionH relativeFrom="column">
            <wp:posOffset>5090795</wp:posOffset>
          </wp:positionH>
          <wp:positionV relativeFrom="paragraph">
            <wp:posOffset>59055</wp:posOffset>
          </wp:positionV>
          <wp:extent cx="819150" cy="513080"/>
          <wp:effectExtent l="0" t="0" r="0" b="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13080"/>
                  </a:xfrm>
                  <a:prstGeom prst="rect">
                    <a:avLst/>
                  </a:prstGeom>
                  <a:noFill/>
                </pic:spPr>
              </pic:pic>
            </a:graphicData>
          </a:graphic>
          <wp14:sizeRelH relativeFrom="margin">
            <wp14:pctWidth>0</wp14:pctWidth>
          </wp14:sizeRelH>
          <wp14:sizeRelV relativeFrom="margin">
            <wp14:pctHeight>0</wp14:pctHeight>
          </wp14:sizeRelV>
        </wp:anchor>
      </w:drawing>
    </w:r>
  </w:p>
  <w:p w:rsidR="00D306DC" w:rsidRPr="00F81BDF" w:rsidRDefault="00D306DC" w:rsidP="00D306DC">
    <w:pPr>
      <w:pStyle w:val="Fuzeile"/>
      <w:rPr>
        <w:rFonts w:ascii="Arial" w:hAnsi="Arial" w:cs="Arial"/>
        <w:sz w:val="15"/>
      </w:rPr>
    </w:pPr>
    <w:r w:rsidRPr="00F81BDF">
      <w:rPr>
        <w:rFonts w:ascii="Arial" w:hAnsi="Arial" w:cs="Arial"/>
        <w:sz w:val="15"/>
      </w:rPr>
      <w:t>Wiener Börse AG, 101</w:t>
    </w:r>
    <w:r w:rsidR="003B1E53" w:rsidRPr="00F81BDF">
      <w:rPr>
        <w:rFonts w:ascii="Arial" w:hAnsi="Arial" w:cs="Arial"/>
        <w:sz w:val="15"/>
      </w:rPr>
      <w:t>0</w:t>
    </w:r>
    <w:r w:rsidRPr="00F81BDF">
      <w:rPr>
        <w:rFonts w:ascii="Arial" w:hAnsi="Arial" w:cs="Arial"/>
        <w:sz w:val="15"/>
      </w:rPr>
      <w:t xml:space="preserve"> </w:t>
    </w:r>
    <w:r w:rsidR="00EC1A78" w:rsidRPr="00F81BDF">
      <w:rPr>
        <w:rFonts w:ascii="Arial" w:hAnsi="Arial" w:cs="Arial"/>
        <w:sz w:val="15"/>
      </w:rPr>
      <w:t>Wien</w:t>
    </w:r>
    <w:r w:rsidRPr="00F81BDF">
      <w:rPr>
        <w:rFonts w:ascii="Arial" w:hAnsi="Arial" w:cs="Arial"/>
        <w:sz w:val="15"/>
      </w:rPr>
      <w:t>, Wallnerstra</w:t>
    </w:r>
    <w:r w:rsidR="00EC1A78" w:rsidRPr="00F81BDF">
      <w:rPr>
        <w:rFonts w:ascii="Arial" w:hAnsi="Arial" w:cs="Arial"/>
        <w:sz w:val="15"/>
      </w:rPr>
      <w:t>ß</w:t>
    </w:r>
    <w:r w:rsidRPr="00F81BDF">
      <w:rPr>
        <w:rFonts w:ascii="Arial" w:hAnsi="Arial" w:cs="Arial"/>
        <w:sz w:val="15"/>
      </w:rPr>
      <w:t>e 8</w:t>
    </w:r>
  </w:p>
  <w:p w:rsidR="00D306DC" w:rsidRPr="00F81BDF" w:rsidRDefault="00D306DC" w:rsidP="00D306DC">
    <w:pPr>
      <w:pStyle w:val="Fuzeile"/>
      <w:rPr>
        <w:rFonts w:ascii="Arial" w:hAnsi="Arial" w:cs="Arial"/>
        <w:sz w:val="15"/>
        <w:szCs w:val="15"/>
      </w:rPr>
    </w:pPr>
    <w:r w:rsidRPr="00F81BDF">
      <w:rPr>
        <w:rFonts w:ascii="Arial" w:hAnsi="Arial" w:cs="Arial"/>
        <w:sz w:val="15"/>
        <w:szCs w:val="15"/>
      </w:rPr>
      <w:t>T +43 1 531 65 0, F +43 1 53297 40</w:t>
    </w:r>
  </w:p>
  <w:p w:rsidR="00D306DC" w:rsidRPr="00F81BDF" w:rsidRDefault="00D306DC" w:rsidP="00D306DC">
    <w:pPr>
      <w:pStyle w:val="Fuzeile"/>
      <w:rPr>
        <w:rFonts w:ascii="Arial" w:hAnsi="Arial" w:cs="Arial"/>
        <w:sz w:val="15"/>
        <w:szCs w:val="15"/>
      </w:rPr>
    </w:pPr>
    <w:r w:rsidRPr="00F81BDF">
      <w:rPr>
        <w:rFonts w:ascii="Arial" w:hAnsi="Arial" w:cs="Arial"/>
        <w:sz w:val="15"/>
        <w:szCs w:val="15"/>
      </w:rPr>
      <w:t>info@wie</w:t>
    </w:r>
    <w:r w:rsidR="00EC4D0E" w:rsidRPr="00F81BDF">
      <w:rPr>
        <w:rFonts w:ascii="Arial" w:hAnsi="Arial" w:cs="Arial"/>
        <w:sz w:val="15"/>
        <w:szCs w:val="15"/>
      </w:rPr>
      <w:t>nerbo</w:t>
    </w:r>
    <w:r w:rsidR="002D2C70" w:rsidRPr="00F81BDF">
      <w:rPr>
        <w:rFonts w:ascii="Arial" w:hAnsi="Arial" w:cs="Arial"/>
        <w:sz w:val="15"/>
        <w:szCs w:val="15"/>
      </w:rPr>
      <w:t>e</w:t>
    </w:r>
    <w:r w:rsidR="00EC4D0E" w:rsidRPr="00F81BDF">
      <w:rPr>
        <w:rFonts w:ascii="Arial" w:hAnsi="Arial" w:cs="Arial"/>
        <w:sz w:val="15"/>
        <w:szCs w:val="15"/>
      </w:rPr>
      <w:t xml:space="preserve">rse.at, </w:t>
    </w:r>
    <w:hyperlink r:id="rId2" w:history="1">
      <w:r w:rsidR="004145E5" w:rsidRPr="004237E7">
        <w:rPr>
          <w:rStyle w:val="Hyperlink"/>
          <w:rFonts w:ascii="Arial" w:hAnsi="Arial" w:cs="Arial"/>
          <w:color w:val="auto"/>
          <w:sz w:val="15"/>
          <w:szCs w:val="15"/>
          <w:u w:val="none"/>
        </w:rPr>
        <w:t>www.wienerboerse.at</w:t>
      </w:r>
    </w:hyperlink>
  </w:p>
  <w:p w:rsidR="00C8153A" w:rsidRPr="000A5CB6" w:rsidRDefault="004D0087" w:rsidP="000A5CB6">
    <w:pPr>
      <w:pStyle w:val="Fuzeile"/>
      <w:rPr>
        <w:rFonts w:ascii="Arial" w:hAnsi="Arial"/>
        <w:sz w:val="15"/>
        <w:szCs w:val="15"/>
      </w:rPr>
    </w:pPr>
    <w:r w:rsidRPr="000F7511">
      <w:rPr>
        <w:rFonts w:ascii="Arial" w:hAnsi="Arial"/>
        <w:sz w:val="15"/>
        <w:szCs w:val="15"/>
      </w:rPr>
      <w:t xml:space="preserve">FN </w:t>
    </w:r>
    <w:r>
      <w:rPr>
        <w:rFonts w:ascii="Arial" w:hAnsi="Arial"/>
        <w:sz w:val="15"/>
        <w:szCs w:val="15"/>
      </w:rPr>
      <w:t>161826</w:t>
    </w:r>
    <w:r w:rsidR="000A5CB6">
      <w:rPr>
        <w:rFonts w:ascii="Arial" w:hAnsi="Arial"/>
        <w:sz w:val="15"/>
        <w:szCs w:val="15"/>
      </w:rPr>
      <w:t xml:space="preserve"> </w:t>
    </w:r>
    <w:r>
      <w:rPr>
        <w:rFonts w:ascii="Arial" w:hAnsi="Arial"/>
        <w:sz w:val="15"/>
        <w:szCs w:val="15"/>
      </w:rPr>
      <w:t>f</w:t>
    </w:r>
    <w:r w:rsidRPr="000F7511">
      <w:rPr>
        <w:rFonts w:ascii="Arial" w:hAnsi="Arial"/>
        <w:sz w:val="15"/>
        <w:szCs w:val="15"/>
      </w:rPr>
      <w:t>, HG Wien, Rechtsform Aktiengesellschaft</w:t>
    </w:r>
    <w:r>
      <w:rPr>
        <w:rFonts w:ascii="Arial" w:hAnsi="Arial"/>
        <w:sz w:val="15"/>
        <w:szCs w:val="15"/>
      </w:rPr>
      <w:t>, UID ATU43751301, Sitz: Wien</w:t>
    </w:r>
    <w:r w:rsidR="00D84B6F">
      <w:rPr>
        <w:rFonts w:ascii="Arial" w:hAnsi="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E9" w:rsidRDefault="005A72E9">
      <w:r>
        <w:separator/>
      </w:r>
    </w:p>
  </w:footnote>
  <w:footnote w:type="continuationSeparator" w:id="0">
    <w:p w:rsidR="005A72E9" w:rsidRDefault="005A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962" w:rsidRPr="002E23AC" w:rsidRDefault="00E8701B" w:rsidP="00E871C2">
    <w:pPr>
      <w:pStyle w:val="Kopfzeile"/>
      <w:spacing w:line="280" w:lineRule="atLeast"/>
      <w:ind w:left="-142" w:right="153" w:firstLine="142"/>
      <w:rPr>
        <w:rFonts w:ascii="Arial" w:hAnsi="Arial"/>
        <w:b/>
        <w:sz w:val="30"/>
        <w:szCs w:val="30"/>
        <w:lang w:val="en-GB"/>
      </w:rPr>
    </w:pPr>
    <w:r>
      <w:rPr>
        <w:noProof/>
      </w:rPr>
      <w:drawing>
        <wp:anchor distT="0" distB="0" distL="114300" distR="114300" simplePos="0" relativeHeight="251656704" behindDoc="0" locked="0" layoutInCell="1" allowOverlap="1">
          <wp:simplePos x="0" y="0"/>
          <wp:positionH relativeFrom="column">
            <wp:posOffset>5088890</wp:posOffset>
          </wp:positionH>
          <wp:positionV relativeFrom="paragraph">
            <wp:posOffset>95250</wp:posOffset>
          </wp:positionV>
          <wp:extent cx="1191260" cy="904875"/>
          <wp:effectExtent l="0" t="0" r="0" b="0"/>
          <wp:wrapNone/>
          <wp:docPr id="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904875"/>
                  </a:xfrm>
                  <a:prstGeom prst="rect">
                    <a:avLst/>
                  </a:prstGeom>
                  <a:noFill/>
                </pic:spPr>
              </pic:pic>
            </a:graphicData>
          </a:graphic>
          <wp14:sizeRelH relativeFrom="margin">
            <wp14:pctWidth>0</wp14:pctWidth>
          </wp14:sizeRelH>
          <wp14:sizeRelV relativeFrom="margin">
            <wp14:pctHeight>0</wp14:pctHeight>
          </wp14:sizeRelV>
        </wp:anchor>
      </w:drawing>
    </w:r>
  </w:p>
  <w:p w:rsidR="00E871C2" w:rsidRDefault="00E871C2" w:rsidP="001E1962">
    <w:pPr>
      <w:pStyle w:val="Kopfzeile"/>
      <w:spacing w:line="280" w:lineRule="atLeast"/>
      <w:ind w:right="153"/>
      <w:rPr>
        <w:rFonts w:ascii="Arial" w:hAnsi="Arial"/>
        <w:b/>
        <w:sz w:val="30"/>
        <w:szCs w:val="30"/>
        <w:lang w:val="en-GB"/>
      </w:rPr>
    </w:pPr>
  </w:p>
  <w:p w:rsidR="00E871C2" w:rsidRPr="00263A2B" w:rsidRDefault="00E871C2" w:rsidP="00263A2B">
    <w:pPr>
      <w:pStyle w:val="Kopfzeile"/>
      <w:spacing w:before="120" w:line="640" w:lineRule="exact"/>
      <w:ind w:right="153"/>
      <w:rPr>
        <w:rFonts w:ascii="Arial" w:hAnsi="Arial"/>
        <w:sz w:val="40"/>
        <w:szCs w:val="4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6476C"/>
    <w:multiLevelType w:val="hybridMultilevel"/>
    <w:tmpl w:val="D8C489A2"/>
    <w:lvl w:ilvl="0" w:tplc="FFB8D714">
      <w:start w:val="1"/>
      <w:numFmt w:val="bullet"/>
      <w:lvlText w:val=""/>
      <w:lvlJc w:val="left"/>
      <w:pPr>
        <w:tabs>
          <w:tab w:val="num" w:pos="360"/>
        </w:tabs>
        <w:ind w:left="360" w:hanging="360"/>
      </w:pPr>
      <w:rPr>
        <w:rFonts w:ascii="Wingdings" w:hAnsi="Wingdings" w:hint="default"/>
        <w:b w:val="0"/>
        <w:i w:val="0"/>
        <w:color w:val="999999"/>
        <w:u w:color="999999"/>
      </w:rPr>
    </w:lvl>
    <w:lvl w:ilvl="1" w:tplc="0C070003" w:tentative="1">
      <w:start w:val="1"/>
      <w:numFmt w:val="bullet"/>
      <w:lvlText w:val="o"/>
      <w:lvlJc w:val="left"/>
      <w:pPr>
        <w:tabs>
          <w:tab w:val="num" w:pos="1080"/>
        </w:tabs>
        <w:ind w:left="1080" w:hanging="360"/>
      </w:pPr>
      <w:rPr>
        <w:rFonts w:ascii="Courier New" w:hAnsi="Courier New" w:cs="Marlett"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Marlett"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Marlett"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904591"/>
    <w:multiLevelType w:val="hybridMultilevel"/>
    <w:tmpl w:val="08C48954"/>
    <w:lvl w:ilvl="0" w:tplc="FFB8D714">
      <w:start w:val="1"/>
      <w:numFmt w:val="bullet"/>
      <w:lvlText w:val=""/>
      <w:lvlJc w:val="left"/>
      <w:pPr>
        <w:tabs>
          <w:tab w:val="num" w:pos="360"/>
        </w:tabs>
        <w:ind w:left="360" w:hanging="360"/>
      </w:pPr>
      <w:rPr>
        <w:rFonts w:ascii="Wingdings" w:hAnsi="Wingdings" w:hint="default"/>
        <w:b w:val="0"/>
        <w:i w:val="0"/>
        <w:color w:val="999999"/>
        <w:u w:color="999999"/>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77457"/>
    <w:multiLevelType w:val="hybridMultilevel"/>
    <w:tmpl w:val="21D8B638"/>
    <w:lvl w:ilvl="0" w:tplc="8D128F44">
      <w:numFmt w:val="bullet"/>
      <w:lvlText w:val=""/>
      <w:lvlJc w:val="left"/>
      <w:pPr>
        <w:tabs>
          <w:tab w:val="num" w:pos="360"/>
        </w:tabs>
        <w:ind w:left="360" w:hanging="360"/>
      </w:pPr>
      <w:rPr>
        <w:rFonts w:ascii="Wingdings" w:eastAsia="Times New Roman" w:hAnsi="Wingdings" w:cs="Marlett" w:hint="default"/>
      </w:rPr>
    </w:lvl>
    <w:lvl w:ilvl="1" w:tplc="0C070003" w:tentative="1">
      <w:start w:val="1"/>
      <w:numFmt w:val="bullet"/>
      <w:lvlText w:val="o"/>
      <w:lvlJc w:val="left"/>
      <w:pPr>
        <w:tabs>
          <w:tab w:val="num" w:pos="1080"/>
        </w:tabs>
        <w:ind w:left="1080" w:hanging="360"/>
      </w:pPr>
      <w:rPr>
        <w:rFonts w:ascii="Courier New" w:hAnsi="Courier New" w:cs="Marlett"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Marlett"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Marlett"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E63AA2"/>
    <w:multiLevelType w:val="hybridMultilevel"/>
    <w:tmpl w:val="2006D444"/>
    <w:lvl w:ilvl="0" w:tplc="FFB8D714">
      <w:start w:val="1"/>
      <w:numFmt w:val="bullet"/>
      <w:lvlText w:val=""/>
      <w:lvlJc w:val="left"/>
      <w:pPr>
        <w:tabs>
          <w:tab w:val="num" w:pos="360"/>
        </w:tabs>
        <w:ind w:left="360" w:hanging="360"/>
      </w:pPr>
      <w:rPr>
        <w:rFonts w:ascii="Wingdings" w:hAnsi="Wingdings" w:hint="default"/>
        <w:b w:val="0"/>
        <w:i w:val="0"/>
        <w:caps w:val="0"/>
        <w:strike w:val="0"/>
        <w:dstrike w:val="0"/>
        <w:vanish w:val="0"/>
        <w:color w:val="999999"/>
        <w:sz w:val="20"/>
        <w:szCs w:val="20"/>
        <w:u w:color="999999"/>
        <w:vertAlign w:val="baseline"/>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674F8"/>
    <w:multiLevelType w:val="hybridMultilevel"/>
    <w:tmpl w:val="2F32E172"/>
    <w:lvl w:ilvl="0" w:tplc="F752B43E">
      <w:start w:val="1"/>
      <w:numFmt w:val="bullet"/>
      <w:lvlText w:val=""/>
      <w:lvlJc w:val="left"/>
      <w:pPr>
        <w:tabs>
          <w:tab w:val="num" w:pos="360"/>
        </w:tabs>
        <w:ind w:left="360" w:hanging="360"/>
      </w:pPr>
      <w:rPr>
        <w:rFonts w:ascii="Wingdings" w:hAnsi="Wingdings" w:hint="default"/>
        <w:b w:val="0"/>
        <w:i w:val="0"/>
        <w:caps w:val="0"/>
        <w:strike w:val="0"/>
        <w:dstrike w:val="0"/>
        <w:vanish w:val="0"/>
        <w:color w:val="585858"/>
        <w:sz w:val="20"/>
        <w:szCs w:val="24"/>
        <w:u w:color="999999"/>
        <w:vertAlign w:val="baseline"/>
      </w:rPr>
    </w:lvl>
    <w:lvl w:ilvl="1" w:tplc="0C070003" w:tentative="1">
      <w:start w:val="1"/>
      <w:numFmt w:val="bullet"/>
      <w:lvlText w:val="o"/>
      <w:lvlJc w:val="left"/>
      <w:pPr>
        <w:tabs>
          <w:tab w:val="num" w:pos="720"/>
        </w:tabs>
        <w:ind w:left="720" w:hanging="360"/>
      </w:pPr>
      <w:rPr>
        <w:rFonts w:ascii="Courier New" w:hAnsi="Courier New" w:cs="Courier New" w:hint="default"/>
      </w:rPr>
    </w:lvl>
    <w:lvl w:ilvl="2" w:tplc="0C070005" w:tentative="1">
      <w:start w:val="1"/>
      <w:numFmt w:val="bullet"/>
      <w:lvlText w:val=""/>
      <w:lvlJc w:val="left"/>
      <w:pPr>
        <w:tabs>
          <w:tab w:val="num" w:pos="1440"/>
        </w:tabs>
        <w:ind w:left="1440" w:hanging="360"/>
      </w:pPr>
      <w:rPr>
        <w:rFonts w:ascii="Wingdings" w:hAnsi="Wingdings" w:hint="default"/>
      </w:rPr>
    </w:lvl>
    <w:lvl w:ilvl="3" w:tplc="0C070001" w:tentative="1">
      <w:start w:val="1"/>
      <w:numFmt w:val="bullet"/>
      <w:lvlText w:val=""/>
      <w:lvlJc w:val="left"/>
      <w:pPr>
        <w:tabs>
          <w:tab w:val="num" w:pos="2160"/>
        </w:tabs>
        <w:ind w:left="2160" w:hanging="360"/>
      </w:pPr>
      <w:rPr>
        <w:rFonts w:ascii="Symbol" w:hAnsi="Symbol" w:hint="default"/>
      </w:rPr>
    </w:lvl>
    <w:lvl w:ilvl="4" w:tplc="0C070003" w:tentative="1">
      <w:start w:val="1"/>
      <w:numFmt w:val="bullet"/>
      <w:lvlText w:val="o"/>
      <w:lvlJc w:val="left"/>
      <w:pPr>
        <w:tabs>
          <w:tab w:val="num" w:pos="2880"/>
        </w:tabs>
        <w:ind w:left="2880" w:hanging="360"/>
      </w:pPr>
      <w:rPr>
        <w:rFonts w:ascii="Courier New" w:hAnsi="Courier New" w:cs="Courier New" w:hint="default"/>
      </w:rPr>
    </w:lvl>
    <w:lvl w:ilvl="5" w:tplc="0C070005" w:tentative="1">
      <w:start w:val="1"/>
      <w:numFmt w:val="bullet"/>
      <w:lvlText w:val=""/>
      <w:lvlJc w:val="left"/>
      <w:pPr>
        <w:tabs>
          <w:tab w:val="num" w:pos="3600"/>
        </w:tabs>
        <w:ind w:left="3600" w:hanging="360"/>
      </w:pPr>
      <w:rPr>
        <w:rFonts w:ascii="Wingdings" w:hAnsi="Wingdings" w:hint="default"/>
      </w:rPr>
    </w:lvl>
    <w:lvl w:ilvl="6" w:tplc="0C070001" w:tentative="1">
      <w:start w:val="1"/>
      <w:numFmt w:val="bullet"/>
      <w:lvlText w:val=""/>
      <w:lvlJc w:val="left"/>
      <w:pPr>
        <w:tabs>
          <w:tab w:val="num" w:pos="4320"/>
        </w:tabs>
        <w:ind w:left="4320" w:hanging="360"/>
      </w:pPr>
      <w:rPr>
        <w:rFonts w:ascii="Symbol" w:hAnsi="Symbol" w:hint="default"/>
      </w:rPr>
    </w:lvl>
    <w:lvl w:ilvl="7" w:tplc="0C070003" w:tentative="1">
      <w:start w:val="1"/>
      <w:numFmt w:val="bullet"/>
      <w:lvlText w:val="o"/>
      <w:lvlJc w:val="left"/>
      <w:pPr>
        <w:tabs>
          <w:tab w:val="num" w:pos="5040"/>
        </w:tabs>
        <w:ind w:left="5040" w:hanging="360"/>
      </w:pPr>
      <w:rPr>
        <w:rFonts w:ascii="Courier New" w:hAnsi="Courier New" w:cs="Courier New" w:hint="default"/>
      </w:rPr>
    </w:lvl>
    <w:lvl w:ilvl="8" w:tplc="0C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67EB67EE"/>
    <w:multiLevelType w:val="hybridMultilevel"/>
    <w:tmpl w:val="D236075E"/>
    <w:lvl w:ilvl="0" w:tplc="736A4558">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0"/>
        <w:szCs w:val="20"/>
        <w:u w:color="999999"/>
        <w:vertAlign w:val="baseline"/>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574C48"/>
    <w:multiLevelType w:val="multilevel"/>
    <w:tmpl w:val="21D8B638"/>
    <w:lvl w:ilvl="0">
      <w:numFmt w:val="bullet"/>
      <w:lvlText w:val=""/>
      <w:lvlJc w:val="left"/>
      <w:pPr>
        <w:tabs>
          <w:tab w:val="num" w:pos="360"/>
        </w:tabs>
        <w:ind w:left="360" w:hanging="360"/>
      </w:pPr>
      <w:rPr>
        <w:rFonts w:ascii="Wingdings" w:eastAsia="Times New Roman" w:hAnsi="Wingdings" w:cs="Marlett" w:hint="default"/>
      </w:rPr>
    </w:lvl>
    <w:lvl w:ilvl="1">
      <w:start w:val="1"/>
      <w:numFmt w:val="bullet"/>
      <w:lvlText w:val="o"/>
      <w:lvlJc w:val="left"/>
      <w:pPr>
        <w:tabs>
          <w:tab w:val="num" w:pos="1080"/>
        </w:tabs>
        <w:ind w:left="1080" w:hanging="360"/>
      </w:pPr>
      <w:rPr>
        <w:rFonts w:ascii="Courier New" w:hAnsi="Courier New" w:cs="Marlett"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Marlett"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Marlett"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76761"/>
    <w:multiLevelType w:val="multilevel"/>
    <w:tmpl w:val="D236075E"/>
    <w:lvl w:ilvl="0">
      <w:start w:val="1"/>
      <w:numFmt w:val="bullet"/>
      <w:lvlText w:val=""/>
      <w:lvlJc w:val="left"/>
      <w:pPr>
        <w:tabs>
          <w:tab w:val="num" w:pos="360"/>
        </w:tabs>
        <w:ind w:left="360" w:hanging="360"/>
      </w:pPr>
      <w:rPr>
        <w:rFonts w:ascii="Wingdings" w:hAnsi="Wingdings" w:hint="default"/>
        <w:b w:val="0"/>
        <w:i w:val="0"/>
        <w:caps w:val="0"/>
        <w:strike w:val="0"/>
        <w:dstrike w:val="0"/>
        <w:vanish w:val="0"/>
        <w:color w:val="auto"/>
        <w:sz w:val="20"/>
        <w:szCs w:val="20"/>
        <w:u w:color="999999"/>
        <w:vertAlign w:val="baseline"/>
      </w:rPr>
    </w:lvl>
    <w:lvl w:ilvl="1">
      <w:start w:val="1"/>
      <w:numFmt w:val="bullet"/>
      <w:lvlText w:val="o"/>
      <w:lvlJc w:val="left"/>
      <w:pPr>
        <w:tabs>
          <w:tab w:val="num" w:pos="1440"/>
        </w:tabs>
        <w:ind w:left="1440" w:hanging="360"/>
      </w:pPr>
      <w:rPr>
        <w:rFonts w:ascii="Courier New" w:hAnsi="Courier New" w:cs="Marlet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arlet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arlett"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4138BB"/>
    <w:multiLevelType w:val="hybridMultilevel"/>
    <w:tmpl w:val="AE684856"/>
    <w:lvl w:ilvl="0" w:tplc="8D128F44">
      <w:numFmt w:val="bullet"/>
      <w:lvlText w:val=""/>
      <w:lvlJc w:val="left"/>
      <w:pPr>
        <w:tabs>
          <w:tab w:val="num" w:pos="720"/>
        </w:tabs>
        <w:ind w:left="720" w:hanging="360"/>
      </w:pPr>
      <w:rPr>
        <w:rFonts w:ascii="Wingdings" w:eastAsia="Times New Roman" w:hAnsi="Wingdings" w:cs="Marlett" w:hint="default"/>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B0576B"/>
    <w:multiLevelType w:val="hybridMultilevel"/>
    <w:tmpl w:val="EEB88B88"/>
    <w:lvl w:ilvl="0" w:tplc="46848912">
      <w:start w:val="1"/>
      <w:numFmt w:val="bullet"/>
      <w:lvlText w:val=""/>
      <w:lvlJc w:val="left"/>
      <w:pPr>
        <w:tabs>
          <w:tab w:val="num" w:pos="720"/>
        </w:tabs>
        <w:ind w:left="720" w:hanging="360"/>
      </w:pPr>
      <w:rPr>
        <w:rFonts w:ascii="Marlett" w:hAnsi="Marlett" w:hint="default"/>
        <w:color w:val="auto"/>
      </w:rPr>
    </w:lvl>
    <w:lvl w:ilvl="1" w:tplc="0C070003" w:tentative="1">
      <w:start w:val="1"/>
      <w:numFmt w:val="bullet"/>
      <w:lvlText w:val="o"/>
      <w:lvlJc w:val="left"/>
      <w:pPr>
        <w:tabs>
          <w:tab w:val="num" w:pos="1440"/>
        </w:tabs>
        <w:ind w:left="1440" w:hanging="360"/>
      </w:pPr>
      <w:rPr>
        <w:rFonts w:ascii="Courier New" w:hAnsi="Courier New" w:cs="Marlett"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Marlett"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Marlett"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0948D1"/>
    <w:multiLevelType w:val="hybridMultilevel"/>
    <w:tmpl w:val="99CA84F2"/>
    <w:lvl w:ilvl="0" w:tplc="8368D6F8">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2"/>
  </w:num>
  <w:num w:numId="4">
    <w:abstractNumId w:val="6"/>
  </w:num>
  <w:num w:numId="5">
    <w:abstractNumId w:val="0"/>
  </w:num>
  <w:num w:numId="6">
    <w:abstractNumId w:val="5"/>
  </w:num>
  <w:num w:numId="7">
    <w:abstractNumId w:val="10"/>
  </w:num>
  <w:num w:numId="8">
    <w:abstractNumId w:val="7"/>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8193" fill="f" fillcolor="white" stroke="f">
      <v:fill color="white" on="f"/>
      <v:stroke on="f"/>
      <v:shadow offset=".74831mm,.7483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E9"/>
    <w:rsid w:val="000240BC"/>
    <w:rsid w:val="00094D1F"/>
    <w:rsid w:val="000A5CB6"/>
    <w:rsid w:val="000B5039"/>
    <w:rsid w:val="000C277E"/>
    <w:rsid w:val="000D4F4B"/>
    <w:rsid w:val="000D7C6E"/>
    <w:rsid w:val="000E503D"/>
    <w:rsid w:val="00120A55"/>
    <w:rsid w:val="00122813"/>
    <w:rsid w:val="0016029D"/>
    <w:rsid w:val="0018442B"/>
    <w:rsid w:val="00187ABB"/>
    <w:rsid w:val="001E1962"/>
    <w:rsid w:val="001E52FD"/>
    <w:rsid w:val="001F5BBA"/>
    <w:rsid w:val="002116ED"/>
    <w:rsid w:val="002148B5"/>
    <w:rsid w:val="0022547A"/>
    <w:rsid w:val="00263A2B"/>
    <w:rsid w:val="002C1B71"/>
    <w:rsid w:val="002C3591"/>
    <w:rsid w:val="002D140F"/>
    <w:rsid w:val="002D2C70"/>
    <w:rsid w:val="002E23AC"/>
    <w:rsid w:val="00341872"/>
    <w:rsid w:val="00351591"/>
    <w:rsid w:val="00371277"/>
    <w:rsid w:val="003A215A"/>
    <w:rsid w:val="003A4CE0"/>
    <w:rsid w:val="003B05C6"/>
    <w:rsid w:val="003B1E53"/>
    <w:rsid w:val="003D5159"/>
    <w:rsid w:val="003E461E"/>
    <w:rsid w:val="003F076F"/>
    <w:rsid w:val="00410F04"/>
    <w:rsid w:val="004145E5"/>
    <w:rsid w:val="004237E7"/>
    <w:rsid w:val="004528C2"/>
    <w:rsid w:val="004A27DE"/>
    <w:rsid w:val="004D0087"/>
    <w:rsid w:val="004D09C0"/>
    <w:rsid w:val="004D6874"/>
    <w:rsid w:val="004E4A74"/>
    <w:rsid w:val="00517BC9"/>
    <w:rsid w:val="005608A5"/>
    <w:rsid w:val="005A72E9"/>
    <w:rsid w:val="005B14B6"/>
    <w:rsid w:val="005B2088"/>
    <w:rsid w:val="005C265B"/>
    <w:rsid w:val="00654164"/>
    <w:rsid w:val="00664528"/>
    <w:rsid w:val="006800FF"/>
    <w:rsid w:val="0068437D"/>
    <w:rsid w:val="00697600"/>
    <w:rsid w:val="0070184E"/>
    <w:rsid w:val="00707261"/>
    <w:rsid w:val="007333AB"/>
    <w:rsid w:val="007B1E7F"/>
    <w:rsid w:val="007D62D8"/>
    <w:rsid w:val="008375DA"/>
    <w:rsid w:val="008C4C75"/>
    <w:rsid w:val="009051B2"/>
    <w:rsid w:val="0091388C"/>
    <w:rsid w:val="00917575"/>
    <w:rsid w:val="00954EBA"/>
    <w:rsid w:val="009662B9"/>
    <w:rsid w:val="00966C70"/>
    <w:rsid w:val="009A4C24"/>
    <w:rsid w:val="009D728C"/>
    <w:rsid w:val="009E5D68"/>
    <w:rsid w:val="00A37D67"/>
    <w:rsid w:val="00A401CE"/>
    <w:rsid w:val="00A47483"/>
    <w:rsid w:val="00A47DE7"/>
    <w:rsid w:val="00AB7FEE"/>
    <w:rsid w:val="00AC404A"/>
    <w:rsid w:val="00AD5C8A"/>
    <w:rsid w:val="00B2764F"/>
    <w:rsid w:val="00B37307"/>
    <w:rsid w:val="00B732B0"/>
    <w:rsid w:val="00BA4826"/>
    <w:rsid w:val="00BB1D95"/>
    <w:rsid w:val="00BD1567"/>
    <w:rsid w:val="00BE51E5"/>
    <w:rsid w:val="00C1168B"/>
    <w:rsid w:val="00C2594F"/>
    <w:rsid w:val="00C65CC4"/>
    <w:rsid w:val="00C6703E"/>
    <w:rsid w:val="00C8153A"/>
    <w:rsid w:val="00C87963"/>
    <w:rsid w:val="00C9008F"/>
    <w:rsid w:val="00C901E4"/>
    <w:rsid w:val="00CA7638"/>
    <w:rsid w:val="00CA77CB"/>
    <w:rsid w:val="00CB1B8E"/>
    <w:rsid w:val="00CF12F2"/>
    <w:rsid w:val="00CF79CB"/>
    <w:rsid w:val="00D306DC"/>
    <w:rsid w:val="00D84B6F"/>
    <w:rsid w:val="00E019EC"/>
    <w:rsid w:val="00E213E0"/>
    <w:rsid w:val="00E2499C"/>
    <w:rsid w:val="00E37E22"/>
    <w:rsid w:val="00E5288E"/>
    <w:rsid w:val="00E67548"/>
    <w:rsid w:val="00E8701B"/>
    <w:rsid w:val="00E871C2"/>
    <w:rsid w:val="00EC1A78"/>
    <w:rsid w:val="00EC4D0E"/>
    <w:rsid w:val="00EF10BB"/>
    <w:rsid w:val="00F36EFC"/>
    <w:rsid w:val="00F81BDF"/>
    <w:rsid w:val="00FA79C3"/>
    <w:rsid w:val="00FB2324"/>
    <w:rsid w:val="00FF49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f" fillcolor="white" stroke="f">
      <v:fill color="white" on="f"/>
      <v:stroke on="f"/>
      <v:shadow offset=".74831mm,.74831mm"/>
    </o:shapedefaults>
    <o:shapelayout v:ext="edit">
      <o:idmap v:ext="edit" data="1"/>
    </o:shapelayout>
  </w:shapeDefaults>
  <w:doNotEmbedSmartTags/>
  <w:decimalSymbol w:val=","/>
  <w:listSeparator w:val=";"/>
  <w15:docId w15:val="{B3B4F4A3-3EDB-4C90-AB9A-3AB15967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1168B"/>
    <w:rPr>
      <w:rFonts w:asciiTheme="minorHAnsi" w:eastAsiaTheme="minorHAnsi" w:hAnsiTheme="minorHAnsi" w:cstheme="minorBidi"/>
      <w:sz w:val="22"/>
      <w:szCs w:val="22"/>
      <w:lang w:val="de-DE" w:eastAsia="en-US"/>
    </w:rPr>
  </w:style>
  <w:style w:type="paragraph" w:styleId="berschrift1">
    <w:name w:val="heading 1"/>
    <w:basedOn w:val="Standard"/>
    <w:next w:val="Standard"/>
    <w:qFormat/>
    <w:pPr>
      <w:keepNext/>
      <w:spacing w:after="60" w:line="220" w:lineRule="atLeast"/>
      <w:outlineLvl w:val="0"/>
    </w:pPr>
    <w:rPr>
      <w:rFonts w:ascii="Arial" w:eastAsia="Times New Roman" w:hAnsi="Arial" w:cs="Arial"/>
      <w:b/>
      <w:bCs/>
      <w:color w:val="FF0000"/>
      <w:sz w:val="20"/>
      <w:szCs w:val="20"/>
      <w:lang w:val="de-AT" w:eastAsia="de-AT"/>
    </w:rPr>
  </w:style>
  <w:style w:type="paragraph" w:styleId="berschrift2">
    <w:name w:val="heading 2"/>
    <w:basedOn w:val="Standard"/>
    <w:next w:val="Standard"/>
    <w:qFormat/>
    <w:pPr>
      <w:keepNext/>
      <w:spacing w:line="220" w:lineRule="atLeast"/>
      <w:jc w:val="both"/>
      <w:outlineLvl w:val="1"/>
    </w:pPr>
    <w:rPr>
      <w:rFonts w:ascii="Arial" w:eastAsia="Times New Roman" w:hAnsi="Arial" w:cs="Times New Roman"/>
      <w:b/>
      <w:color w:val="CF0000"/>
      <w:sz w:val="20"/>
      <w:szCs w:val="24"/>
      <w:lang w:val="de-AT" w:eastAsia="de-AT"/>
    </w:rPr>
  </w:style>
  <w:style w:type="paragraph" w:styleId="berschrift3">
    <w:name w:val="heading 3"/>
    <w:basedOn w:val="Standard"/>
    <w:next w:val="Standard"/>
    <w:qFormat/>
    <w:pPr>
      <w:keepNext/>
      <w:jc w:val="center"/>
      <w:outlineLvl w:val="2"/>
    </w:pPr>
    <w:rPr>
      <w:rFonts w:ascii="Arial" w:eastAsia="Times New Roman" w:hAnsi="Arial" w:cs="Times New Roman"/>
      <w:b/>
      <w:color w:val="CF0000"/>
      <w:sz w:val="17"/>
      <w:szCs w:val="24"/>
      <w:lang w:val="de-AT" w:eastAsia="de-AT"/>
    </w:rPr>
  </w:style>
  <w:style w:type="paragraph" w:styleId="berschrift4">
    <w:name w:val="heading 4"/>
    <w:basedOn w:val="Standard"/>
    <w:next w:val="Standard"/>
    <w:link w:val="berschrift4Zchn"/>
    <w:qFormat/>
    <w:rsid w:val="0070184E"/>
    <w:pPr>
      <w:keepNext/>
      <w:spacing w:before="240" w:after="60"/>
      <w:outlineLvl w:val="3"/>
    </w:pPr>
    <w:rPr>
      <w:rFonts w:ascii="Times New Roman" w:eastAsia="Times New Roman" w:hAnsi="Times New Roman" w:cs="Times New Roman"/>
      <w:b/>
      <w:bCs/>
      <w:sz w:val="28"/>
      <w:szCs w:val="2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ascii="Times New Roman" w:eastAsia="Times New Roman" w:hAnsi="Times New Roman" w:cs="Times New Roman"/>
      <w:sz w:val="24"/>
      <w:szCs w:val="24"/>
      <w:lang w:val="de-AT" w:eastAsia="de-AT"/>
    </w:rPr>
  </w:style>
  <w:style w:type="paragraph" w:styleId="Fuzeile">
    <w:name w:val="footer"/>
    <w:basedOn w:val="Standard"/>
    <w:link w:val="FuzeileZchn"/>
    <w:pPr>
      <w:tabs>
        <w:tab w:val="center" w:pos="4536"/>
        <w:tab w:val="right" w:pos="9072"/>
      </w:tabs>
    </w:pPr>
    <w:rPr>
      <w:rFonts w:ascii="Times New Roman" w:eastAsia="Times New Roman" w:hAnsi="Times New Roman" w:cs="Times New Roman"/>
      <w:sz w:val="24"/>
      <w:szCs w:val="24"/>
      <w:lang w:val="de-AT" w:eastAsia="de-AT"/>
    </w:rPr>
  </w:style>
  <w:style w:type="paragraph" w:styleId="Textkrper">
    <w:name w:val="Body Text"/>
    <w:basedOn w:val="Standard"/>
    <w:pPr>
      <w:jc w:val="both"/>
    </w:pPr>
    <w:rPr>
      <w:rFonts w:ascii="Arial" w:eastAsia="Times New Roman" w:hAnsi="Arial" w:cs="Times New Roman"/>
      <w:color w:val="808080"/>
      <w:sz w:val="17"/>
      <w:szCs w:val="24"/>
      <w:lang w:val="de-AT" w:eastAsia="de-AT"/>
    </w:rPr>
  </w:style>
  <w:style w:type="paragraph" w:styleId="Sprechblasentext">
    <w:name w:val="Balloon Text"/>
    <w:basedOn w:val="Standard"/>
    <w:semiHidden/>
    <w:rPr>
      <w:rFonts w:ascii="Tahoma" w:eastAsia="Times New Roman" w:hAnsi="Tahoma" w:cs="Tahoma"/>
      <w:sz w:val="16"/>
      <w:szCs w:val="16"/>
    </w:rPr>
  </w:style>
  <w:style w:type="character" w:styleId="Hyperlink">
    <w:name w:val="Hyperlink"/>
    <w:rPr>
      <w:color w:val="0000FF"/>
      <w:u w:val="single"/>
    </w:rPr>
  </w:style>
  <w:style w:type="paragraph" w:styleId="Funotentext">
    <w:name w:val="footnote text"/>
    <w:basedOn w:val="Standard"/>
    <w:semiHidden/>
    <w:rPr>
      <w:rFonts w:ascii="Times New Roman" w:eastAsia="Times New Roman" w:hAnsi="Times New Roman" w:cs="Times New Roman"/>
      <w:sz w:val="20"/>
      <w:szCs w:val="20"/>
      <w:lang w:val="de-AT" w:eastAsia="de-AT"/>
    </w:rPr>
  </w:style>
  <w:style w:type="character" w:styleId="Funotenzeichen">
    <w:name w:val="footnote reference"/>
    <w:semiHidden/>
    <w:rPr>
      <w:vertAlign w:val="superscript"/>
    </w:rPr>
  </w:style>
  <w:style w:type="paragraph" w:styleId="Textkrper2">
    <w:name w:val="Body Text 2"/>
    <w:basedOn w:val="Standard"/>
    <w:pPr>
      <w:spacing w:line="220" w:lineRule="atLeast"/>
      <w:ind w:right="-207"/>
      <w:jc w:val="both"/>
    </w:pPr>
    <w:rPr>
      <w:rFonts w:ascii="Arial" w:eastAsia="Times New Roman" w:hAnsi="Arial" w:cs="Times New Roman"/>
      <w:color w:val="333333"/>
      <w:sz w:val="18"/>
      <w:szCs w:val="24"/>
      <w:lang w:val="de-AT" w:eastAsia="de-AT"/>
    </w:rPr>
  </w:style>
  <w:style w:type="character" w:styleId="BesuchterLink">
    <w:name w:val="FollowedHyperlink"/>
    <w:rsid w:val="00C655DB"/>
    <w:rPr>
      <w:color w:val="800080"/>
      <w:u w:val="single"/>
    </w:rPr>
  </w:style>
  <w:style w:type="character" w:customStyle="1" w:styleId="berschrift4Zchn">
    <w:name w:val="Überschrift 4 Zchn"/>
    <w:link w:val="berschrift4"/>
    <w:rsid w:val="0070184E"/>
    <w:rPr>
      <w:b/>
      <w:bCs/>
      <w:sz w:val="28"/>
      <w:szCs w:val="28"/>
    </w:rPr>
  </w:style>
  <w:style w:type="character" w:customStyle="1" w:styleId="FuzeileZchn">
    <w:name w:val="Fußzeile Zchn"/>
    <w:link w:val="Fuzeile"/>
    <w:rsid w:val="004D0087"/>
    <w:rPr>
      <w:sz w:val="24"/>
      <w:szCs w:val="24"/>
    </w:rPr>
  </w:style>
  <w:style w:type="character" w:styleId="Kommentarzeichen">
    <w:name w:val="annotation reference"/>
    <w:basedOn w:val="Absatz-Standardschriftart"/>
    <w:uiPriority w:val="99"/>
    <w:semiHidden/>
    <w:unhideWhenUsed/>
    <w:rsid w:val="009A4C24"/>
    <w:rPr>
      <w:sz w:val="16"/>
      <w:szCs w:val="16"/>
    </w:rPr>
  </w:style>
  <w:style w:type="paragraph" w:styleId="Kommentartext">
    <w:name w:val="annotation text"/>
    <w:basedOn w:val="Standard"/>
    <w:link w:val="KommentartextZchn"/>
    <w:uiPriority w:val="99"/>
    <w:semiHidden/>
    <w:unhideWhenUsed/>
    <w:rsid w:val="009A4C24"/>
    <w:rPr>
      <w:rFonts w:ascii="Arial" w:eastAsia="Times New Roman" w:hAnsi="Arial" w:cs="Times New Roman"/>
      <w:sz w:val="20"/>
      <w:szCs w:val="20"/>
    </w:rPr>
  </w:style>
  <w:style w:type="character" w:customStyle="1" w:styleId="KommentartextZchn">
    <w:name w:val="Kommentartext Zchn"/>
    <w:basedOn w:val="Absatz-Standardschriftart"/>
    <w:link w:val="Kommentartext"/>
    <w:uiPriority w:val="99"/>
    <w:semiHidden/>
    <w:rsid w:val="009A4C24"/>
    <w:rPr>
      <w:rFonts w:ascii="Arial" w:hAnsi="Arial"/>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ienerboerse.a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WBAG\Formulare\Memo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Memo1.dotx</Template>
  <TotalTime>0</TotalTime>
  <Pages>1</Pages>
  <Words>553</Words>
  <Characters>3176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DIE WIENER BÖRSE</vt:lpstr>
    </vt:vector>
  </TitlesOfParts>
  <Company>Wiener Boerse AG</Company>
  <LinksUpToDate>false</LinksUpToDate>
  <CharactersWithSpaces>3722</CharactersWithSpaces>
  <SharedDoc>false</SharedDoc>
  <HLinks>
    <vt:vector size="6" baseType="variant">
      <vt:variant>
        <vt:i4>7471164</vt:i4>
      </vt:variant>
      <vt:variant>
        <vt:i4>0</vt:i4>
      </vt:variant>
      <vt:variant>
        <vt:i4>0</vt:i4>
      </vt:variant>
      <vt:variant>
        <vt:i4>5</vt:i4>
      </vt:variant>
      <vt:variant>
        <vt:lpwstr>http://www.wienerboerse.at/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WIENER BÖRSE</dc:title>
  <dc:subject/>
  <dc:creator>SCHATZ, Anita</dc:creator>
  <cp:keywords/>
  <cp:lastModifiedBy>FRANK, Stephanie</cp:lastModifiedBy>
  <cp:revision>2</cp:revision>
  <cp:lastPrinted>2020-10-21T07:18:00Z</cp:lastPrinted>
  <dcterms:created xsi:type="dcterms:W3CDTF">2021-01-13T07:31:00Z</dcterms:created>
  <dcterms:modified xsi:type="dcterms:W3CDTF">2021-01-13T07:31:00Z</dcterms:modified>
</cp:coreProperties>
</file>